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sz w:val="24"/>
        </w:rPr>
      </w:pPr>
      <w:r>
        <w:rPr>
          <w:rFonts w:hint="eastAsia"/>
          <w:b/>
          <w:sz w:val="36"/>
          <w:szCs w:val="36"/>
        </w:rPr>
        <w:t>北京市文化市场综合执法总队2026年度信息系统政务云基础资源租用服务采购项目</w:t>
      </w:r>
      <w:bookmarkStart w:id="2" w:name="_GoBack"/>
      <w:bookmarkEnd w:id="2"/>
      <w:r>
        <w:rPr>
          <w:b/>
          <w:sz w:val="36"/>
          <w:szCs w:val="36"/>
        </w:rPr>
        <w:t>采购需求</w:t>
      </w:r>
    </w:p>
    <w:p>
      <w:pPr>
        <w:pStyle w:val="2"/>
        <w:numPr>
          <w:ilvl w:val="0"/>
          <w:numId w:val="1"/>
        </w:numPr>
        <w:autoSpaceDE/>
        <w:autoSpaceDN/>
        <w:adjustRightInd/>
        <w:spacing w:before="0" w:after="0" w:line="360" w:lineRule="auto"/>
        <w:ind w:left="0" w:firstLine="0"/>
        <w:rPr>
          <w:sz w:val="24"/>
          <w:szCs w:val="24"/>
        </w:rPr>
      </w:pPr>
      <w:r>
        <w:rPr>
          <w:sz w:val="24"/>
          <w:szCs w:val="24"/>
        </w:rPr>
        <w:t>采购标的</w:t>
      </w:r>
    </w:p>
    <w:p>
      <w:pPr>
        <w:pStyle w:val="3"/>
      </w:pPr>
      <w:r>
        <w:t>1. 采购标的</w:t>
      </w:r>
    </w:p>
    <w:p>
      <w:pPr>
        <w:widowControl/>
        <w:suppressAutoHyphens/>
        <w:jc w:val="left"/>
        <w:rPr>
          <w:rFonts w:ascii="宋体" w:hAnsi="宋体" w:cs="宋体"/>
          <w:kern w:val="0"/>
          <w:sz w:val="24"/>
        </w:rPr>
      </w:pPr>
      <w:r>
        <w:rPr>
          <w:rFonts w:hint="eastAsia" w:ascii="宋体" w:hAnsi="宋体" w:cs="宋体"/>
          <w:kern w:val="0"/>
          <w:sz w:val="24"/>
        </w:rPr>
        <w:t>项目名称</w:t>
      </w:r>
      <w:r>
        <w:rPr>
          <w:rFonts w:hint="eastAsia" w:ascii="宋体" w:hAnsi="宋体" w:cs="宋体"/>
          <w:sz w:val="24"/>
        </w:rPr>
        <w:t>：</w:t>
      </w:r>
      <w:r>
        <w:rPr>
          <w:rFonts w:hint="eastAsia" w:ascii="宋体" w:hAnsi="宋体" w:cs="宋体"/>
          <w:sz w:val="24"/>
          <w:u w:val="single"/>
        </w:rPr>
        <w:t>北京市文化市场综合执法总队2026年信息系统政务云服务项目</w:t>
      </w:r>
    </w:p>
    <w:p>
      <w:pPr>
        <w:suppressAutoHyphens/>
        <w:adjustRightInd w:val="0"/>
        <w:snapToGrid w:val="0"/>
        <w:rPr>
          <w:rFonts w:ascii="宋体" w:hAnsi="宋体" w:cs="宋体"/>
          <w:sz w:val="24"/>
        </w:rPr>
      </w:pPr>
      <w:r>
        <w:rPr>
          <w:rFonts w:hint="eastAsia" w:ascii="宋体" w:hAnsi="宋体" w:cs="宋体"/>
          <w:sz w:val="24"/>
        </w:rPr>
        <w:t>项目预算金额：256.12516_万元</w:t>
      </w:r>
    </w:p>
    <w:p>
      <w:pPr>
        <w:suppressAutoHyphens/>
        <w:adjustRightInd w:val="0"/>
        <w:snapToGrid w:val="0"/>
        <w:rPr>
          <w:rFonts w:ascii="宋体" w:hAnsi="宋体" w:cs="宋体"/>
          <w:sz w:val="24"/>
        </w:rPr>
      </w:pPr>
      <w:r>
        <w:rPr>
          <w:rFonts w:hint="eastAsia" w:ascii="宋体" w:hAnsi="宋体" w:cs="宋体"/>
          <w:sz w:val="24"/>
        </w:rPr>
        <w:t>采购包情况：</w:t>
      </w:r>
    </w:p>
    <w:tbl>
      <w:tblPr>
        <w:tblStyle w:val="7"/>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740"/>
        <w:gridCol w:w="2991"/>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9" w:type="dxa"/>
            <w:noWrap w:val="0"/>
            <w:vAlign w:val="center"/>
          </w:tcPr>
          <w:p>
            <w:pPr>
              <w:suppressAutoHyphens/>
              <w:adjustRightInd w:val="0"/>
              <w:snapToGrid w:val="0"/>
              <w:spacing w:line="360" w:lineRule="auto"/>
              <w:jc w:val="center"/>
              <w:rPr>
                <w:rFonts w:ascii="宋体" w:hAnsi="宋体" w:cs="宋体"/>
                <w:bCs/>
                <w:sz w:val="24"/>
              </w:rPr>
            </w:pPr>
            <w:r>
              <w:rPr>
                <w:rFonts w:hint="eastAsia" w:ascii="宋体" w:hAnsi="宋体" w:cs="宋体"/>
                <w:bCs/>
                <w:sz w:val="24"/>
              </w:rPr>
              <w:t>包号</w:t>
            </w:r>
          </w:p>
        </w:tc>
        <w:tc>
          <w:tcPr>
            <w:tcW w:w="2740" w:type="dxa"/>
            <w:noWrap w:val="0"/>
            <w:vAlign w:val="center"/>
          </w:tcPr>
          <w:p>
            <w:pPr>
              <w:suppressAutoHyphens/>
              <w:adjustRightInd w:val="0"/>
              <w:snapToGrid w:val="0"/>
              <w:spacing w:line="360" w:lineRule="auto"/>
              <w:jc w:val="center"/>
              <w:rPr>
                <w:rFonts w:ascii="宋体" w:hAnsi="宋体" w:cs="宋体"/>
                <w:bCs/>
                <w:sz w:val="24"/>
              </w:rPr>
            </w:pPr>
            <w:r>
              <w:rPr>
                <w:rFonts w:hint="eastAsia" w:ascii="宋体" w:hAnsi="宋体" w:cs="宋体"/>
                <w:bCs/>
                <w:sz w:val="24"/>
              </w:rPr>
              <w:t>标的名称</w:t>
            </w:r>
          </w:p>
        </w:tc>
        <w:tc>
          <w:tcPr>
            <w:tcW w:w="2991" w:type="dxa"/>
            <w:noWrap w:val="0"/>
            <w:vAlign w:val="center"/>
          </w:tcPr>
          <w:p>
            <w:pPr>
              <w:suppressAutoHyphens/>
              <w:adjustRightInd w:val="0"/>
              <w:snapToGrid w:val="0"/>
              <w:spacing w:line="360" w:lineRule="auto"/>
              <w:jc w:val="center"/>
              <w:rPr>
                <w:rFonts w:ascii="宋体" w:hAnsi="宋体" w:cs="宋体"/>
                <w:bCs/>
                <w:sz w:val="24"/>
              </w:rPr>
            </w:pPr>
            <w:r>
              <w:rPr>
                <w:rFonts w:hint="eastAsia" w:ascii="宋体" w:hAnsi="宋体" w:cs="宋体"/>
                <w:bCs/>
                <w:sz w:val="24"/>
              </w:rPr>
              <w:t>采购包预算金额</w:t>
            </w:r>
          </w:p>
          <w:p>
            <w:pPr>
              <w:suppressAutoHyphens/>
              <w:adjustRightInd w:val="0"/>
              <w:snapToGrid w:val="0"/>
              <w:spacing w:line="360" w:lineRule="auto"/>
              <w:jc w:val="center"/>
              <w:rPr>
                <w:rFonts w:ascii="宋体" w:hAnsi="宋体" w:cs="宋体"/>
                <w:bCs/>
                <w:sz w:val="24"/>
              </w:rPr>
            </w:pPr>
            <w:r>
              <w:rPr>
                <w:rFonts w:hint="eastAsia" w:ascii="宋体" w:hAnsi="宋体" w:cs="宋体"/>
                <w:bCs/>
                <w:sz w:val="24"/>
              </w:rPr>
              <w:t>（万元）</w:t>
            </w:r>
          </w:p>
        </w:tc>
        <w:tc>
          <w:tcPr>
            <w:tcW w:w="1751" w:type="dxa"/>
            <w:noWrap w:val="0"/>
            <w:vAlign w:val="center"/>
          </w:tcPr>
          <w:p>
            <w:pPr>
              <w:suppressAutoHyphens/>
              <w:adjustRightInd w:val="0"/>
              <w:snapToGrid w:val="0"/>
              <w:spacing w:line="360" w:lineRule="auto"/>
              <w:jc w:val="center"/>
              <w:rPr>
                <w:rFonts w:ascii="宋体" w:hAnsi="宋体" w:cs="宋体"/>
                <w:bCs/>
                <w:sz w:val="24"/>
              </w:rPr>
            </w:pPr>
            <w:r>
              <w:rPr>
                <w:rFonts w:hint="eastAsia" w:ascii="宋体" w:hAnsi="宋体" w:cs="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9" w:type="dxa"/>
            <w:noWrap w:val="0"/>
            <w:vAlign w:val="center"/>
          </w:tcPr>
          <w:p>
            <w:pPr>
              <w:suppressAutoHyphens/>
              <w:adjustRightInd w:val="0"/>
              <w:snapToGrid w:val="0"/>
              <w:spacing w:line="360" w:lineRule="auto"/>
              <w:jc w:val="center"/>
              <w:rPr>
                <w:rFonts w:ascii="宋体" w:hAnsi="宋体" w:cs="宋体"/>
                <w:bCs/>
                <w:sz w:val="24"/>
              </w:rPr>
            </w:pPr>
            <w:r>
              <w:rPr>
                <w:rFonts w:hint="eastAsia" w:ascii="宋体" w:hAnsi="宋体" w:cs="宋体"/>
                <w:bCs/>
                <w:sz w:val="24"/>
              </w:rPr>
              <w:t>1</w:t>
            </w:r>
          </w:p>
        </w:tc>
        <w:tc>
          <w:tcPr>
            <w:tcW w:w="2740" w:type="dxa"/>
            <w:noWrap w:val="0"/>
            <w:vAlign w:val="center"/>
          </w:tcPr>
          <w:p>
            <w:pPr>
              <w:widowControl/>
              <w:suppressAutoHyphens/>
              <w:spacing w:line="330" w:lineRule="atLeast"/>
              <w:jc w:val="center"/>
              <w:rPr>
                <w:rFonts w:ascii="宋体" w:hAnsi="宋体" w:cs="宋体"/>
                <w:bCs/>
                <w:sz w:val="24"/>
              </w:rPr>
            </w:pPr>
            <w:r>
              <w:rPr>
                <w:rFonts w:ascii="Calibri" w:hAnsi="Calibri"/>
                <w:kern w:val="0"/>
                <w:sz w:val="24"/>
              </w:rPr>
              <w:t>北京市文化市场综合执法总队202</w:t>
            </w:r>
            <w:r>
              <w:rPr>
                <w:rFonts w:hint="eastAsia" w:ascii="Calibri" w:hAnsi="Calibri"/>
                <w:kern w:val="0"/>
                <w:sz w:val="24"/>
              </w:rPr>
              <w:t>6</w:t>
            </w:r>
            <w:r>
              <w:rPr>
                <w:rFonts w:ascii="Calibri" w:hAnsi="Calibri"/>
                <w:kern w:val="0"/>
                <w:sz w:val="24"/>
              </w:rPr>
              <w:t>年信息系统政务云服务项目</w:t>
            </w:r>
          </w:p>
        </w:tc>
        <w:tc>
          <w:tcPr>
            <w:tcW w:w="2991" w:type="dxa"/>
            <w:noWrap w:val="0"/>
            <w:vAlign w:val="center"/>
          </w:tcPr>
          <w:p>
            <w:pPr>
              <w:suppressAutoHyphens/>
              <w:adjustRightInd w:val="0"/>
              <w:snapToGrid w:val="0"/>
              <w:spacing w:line="360" w:lineRule="auto"/>
              <w:jc w:val="center"/>
              <w:rPr>
                <w:rFonts w:ascii="宋体" w:hAnsi="宋体" w:cs="宋体"/>
                <w:bCs/>
                <w:sz w:val="24"/>
              </w:rPr>
            </w:pPr>
            <w:r>
              <w:rPr>
                <w:rFonts w:hint="eastAsia" w:ascii="宋体" w:hAnsi="宋体" w:cs="宋体"/>
                <w:bCs/>
                <w:sz w:val="24"/>
              </w:rPr>
              <w:t>256.12516</w:t>
            </w:r>
          </w:p>
        </w:tc>
        <w:tc>
          <w:tcPr>
            <w:tcW w:w="1751" w:type="dxa"/>
            <w:noWrap w:val="0"/>
            <w:vAlign w:val="center"/>
          </w:tcPr>
          <w:p>
            <w:pPr>
              <w:suppressAutoHyphens/>
              <w:adjustRightInd w:val="0"/>
              <w:snapToGrid w:val="0"/>
              <w:spacing w:line="360" w:lineRule="auto"/>
              <w:jc w:val="center"/>
              <w:rPr>
                <w:rFonts w:ascii="宋体" w:hAnsi="宋体" w:cs="宋体"/>
                <w:bCs/>
                <w:sz w:val="24"/>
              </w:rPr>
            </w:pPr>
            <w:r>
              <w:rPr>
                <w:rFonts w:hint="eastAsia" w:ascii="宋体" w:hAnsi="宋体" w:cs="宋体"/>
                <w:bCs/>
                <w:sz w:val="24"/>
              </w:rPr>
              <w:t>1</w:t>
            </w:r>
          </w:p>
        </w:tc>
      </w:tr>
    </w:tbl>
    <w:p>
      <w:pPr>
        <w:suppressAutoHyphens/>
        <w:adjustRightInd w:val="0"/>
        <w:snapToGrid w:val="0"/>
        <w:rPr>
          <w:rFonts w:hint="eastAsia" w:ascii="宋体" w:hAnsi="宋体" w:cs="宋体"/>
          <w:sz w:val="24"/>
        </w:rPr>
      </w:pPr>
      <w:r>
        <w:rPr>
          <w:rFonts w:hint="eastAsia" w:ascii="宋体" w:hAnsi="宋体" w:cs="宋体"/>
          <w:sz w:val="24"/>
        </w:rPr>
        <w:t>合同履行期限：自2026年3月10日至2027年3月9日</w:t>
      </w:r>
    </w:p>
    <w:p>
      <w:pPr>
        <w:suppressAutoHyphens/>
        <w:adjustRightInd w:val="0"/>
        <w:snapToGrid w:val="0"/>
        <w:rPr>
          <w:rFonts w:hint="eastAsia" w:ascii="宋体" w:hAnsi="宋体" w:cs="宋体"/>
          <w:sz w:val="24"/>
        </w:rPr>
      </w:pPr>
      <w:r>
        <w:rPr>
          <w:rFonts w:hint="eastAsia" w:ascii="宋体" w:hAnsi="宋体" w:cs="宋体"/>
          <w:sz w:val="24"/>
        </w:rPr>
        <w:t>本项目是否接受联合体投标：□是  ☑否。</w:t>
      </w:r>
    </w:p>
    <w:p>
      <w:pPr>
        <w:spacing w:line="360" w:lineRule="auto"/>
        <w:contextualSpacing/>
        <w:rPr>
          <w:bCs/>
          <w:sz w:val="24"/>
        </w:rPr>
      </w:pPr>
    </w:p>
    <w:p>
      <w:pPr>
        <w:pStyle w:val="3"/>
      </w:pPr>
      <w:r>
        <w:t>2. 项目背景</w:t>
      </w:r>
    </w:p>
    <w:p>
      <w:pPr>
        <w:suppressAutoHyphens/>
        <w:snapToGrid w:val="0"/>
        <w:spacing w:line="360" w:lineRule="auto"/>
        <w:ind w:firstLine="480" w:firstLineChars="200"/>
        <w:rPr>
          <w:rFonts w:ascii="宋体" w:hAnsi="宋体" w:cs="宋体"/>
          <w:bCs/>
          <w:sz w:val="24"/>
        </w:rPr>
      </w:pPr>
      <w:r>
        <w:rPr>
          <w:rFonts w:hint="eastAsia" w:ascii="宋体" w:hAnsi="宋体" w:cs="宋体"/>
          <w:bCs/>
          <w:sz w:val="24"/>
        </w:rPr>
        <w:t>北京市文化市场综合执法总队（简称市文化市场执法总队），为市委宣传部、市文化和旅游局双重管理的副局级行政执法机构，以市文化和旅游局名义执法。（一）负责集中行使法律、法规、规章规定的文化、文物、新闻出版、版权、广播电视、电影、旅游市场以及宗教等领域应由省级行政主管部门行使的行政处罚权以及与之相关的行政检查、行政强制权。（二）负责相关领域重大疑难复杂案件和跨区域案件的查处工作。（三）负责指导、协调、监督、考核各区文化市场综合执法工作。（四）承担“扫黄打非”有关工作任务。（五）完成市委、市政府和市委宣传部、市文化和旅游局交办的其他任务。</w:t>
      </w:r>
    </w:p>
    <w:p>
      <w:pPr>
        <w:spacing w:line="360" w:lineRule="auto"/>
        <w:ind w:firstLine="482"/>
        <w:contextualSpacing/>
        <w:rPr>
          <w:rFonts w:hint="eastAsia" w:ascii="宋体" w:hAnsi="宋体" w:cs="宋体"/>
          <w:bCs/>
          <w:sz w:val="24"/>
        </w:rPr>
      </w:pPr>
      <w:r>
        <w:rPr>
          <w:rFonts w:hint="eastAsia" w:ascii="宋体" w:hAnsi="宋体" w:cs="宋体"/>
          <w:bCs/>
          <w:sz w:val="24"/>
        </w:rPr>
        <w:t>本项目将为支撑文化市场执法总队信息化系统和平台提供政务云服务。</w:t>
      </w:r>
    </w:p>
    <w:p>
      <w:pPr>
        <w:spacing w:line="360" w:lineRule="auto"/>
        <w:ind w:firstLine="482"/>
        <w:contextualSpacing/>
      </w:pPr>
    </w:p>
    <w:p>
      <w:pPr>
        <w:pStyle w:val="2"/>
        <w:numPr>
          <w:ilvl w:val="0"/>
          <w:numId w:val="1"/>
        </w:numPr>
        <w:autoSpaceDE/>
        <w:autoSpaceDN/>
        <w:adjustRightInd/>
        <w:spacing w:before="0" w:after="0" w:line="360" w:lineRule="auto"/>
        <w:ind w:left="0" w:firstLine="0"/>
        <w:rPr>
          <w:rFonts w:ascii="Times New Roman"/>
          <w:sz w:val="24"/>
          <w:szCs w:val="24"/>
        </w:rPr>
      </w:pPr>
      <w:r>
        <w:rPr>
          <w:rFonts w:ascii="Times New Roman"/>
          <w:sz w:val="24"/>
          <w:szCs w:val="24"/>
        </w:rPr>
        <w:t>商务要求</w:t>
      </w:r>
    </w:p>
    <w:p>
      <w:pPr>
        <w:pStyle w:val="3"/>
      </w:pPr>
      <w:r>
        <w:t>1. 交付（实施）的时间（期限）和地点（范围）</w:t>
      </w:r>
    </w:p>
    <w:p>
      <w:pPr>
        <w:spacing w:line="360" w:lineRule="auto"/>
        <w:ind w:firstLine="480" w:firstLineChars="200"/>
        <w:contextualSpacing/>
        <w:rPr>
          <w:i/>
          <w:sz w:val="24"/>
        </w:rPr>
      </w:pPr>
      <w:r>
        <w:rPr>
          <w:rFonts w:hint="eastAsia" w:ascii="宋体" w:hAnsi="宋体"/>
          <w:sz w:val="24"/>
        </w:rPr>
        <w:t>自2026年3月10日至2027年3月9日</w:t>
      </w:r>
    </w:p>
    <w:p>
      <w:pPr>
        <w:pStyle w:val="3"/>
      </w:pPr>
      <w:r>
        <w:t>2. 付款条件（进度和方式）</w:t>
      </w:r>
    </w:p>
    <w:p>
      <w:pPr>
        <w:spacing w:line="360" w:lineRule="auto"/>
        <w:ind w:firstLine="480" w:firstLineChars="200"/>
        <w:contextualSpacing/>
        <w:rPr>
          <w:bCs/>
          <w:sz w:val="24"/>
        </w:rPr>
      </w:pPr>
      <w:r>
        <w:rPr>
          <w:rFonts w:hint="eastAsia" w:ascii="宋体" w:hAnsi="宋体" w:cs="宋体"/>
          <w:sz w:val="24"/>
        </w:rPr>
        <w:t>2026年预算批复到账后15个工作日内支付2026年服务期的费用的60%，2026年9月30日前支付2026年服务期的费用的40%，支付第二笔服务费前收取合同总价款10%的履约保函。2027年预算批复到账后15个工作日内支付该合同涉及的2027年服务期的全部服务费用。</w:t>
      </w:r>
    </w:p>
    <w:p>
      <w:pPr>
        <w:spacing w:line="360" w:lineRule="auto"/>
        <w:contextualSpacing/>
        <w:rPr>
          <w:b/>
          <w:i/>
          <w:sz w:val="24"/>
        </w:rPr>
      </w:pPr>
    </w:p>
    <w:p>
      <w:pPr>
        <w:pStyle w:val="2"/>
        <w:numPr>
          <w:ilvl w:val="0"/>
          <w:numId w:val="1"/>
        </w:numPr>
        <w:autoSpaceDE/>
        <w:autoSpaceDN/>
        <w:adjustRightInd/>
        <w:spacing w:before="0" w:after="0" w:line="360" w:lineRule="auto"/>
        <w:ind w:left="0" w:firstLine="0"/>
        <w:rPr>
          <w:rFonts w:ascii="Times New Roman"/>
          <w:sz w:val="24"/>
          <w:szCs w:val="24"/>
        </w:rPr>
      </w:pPr>
      <w:r>
        <w:rPr>
          <w:rFonts w:ascii="Times New Roman"/>
          <w:sz w:val="24"/>
          <w:szCs w:val="24"/>
        </w:rPr>
        <w:t>技术要求</w:t>
      </w:r>
    </w:p>
    <w:p>
      <w:pPr>
        <w:pStyle w:val="3"/>
      </w:pPr>
      <w:r>
        <w:t>1. 基本要求</w:t>
      </w:r>
    </w:p>
    <w:p>
      <w:pPr>
        <w:pStyle w:val="4"/>
      </w:pPr>
      <w:r>
        <w:t>1.1 采购标的需实现的功能或者目标</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本项目的总体目标是通过租用政务云平台基础服务，对北京市文化市场综合执法总队应用系统的运行环境进行持续优化，提供可靠、稳定、安全的政务云基础服务，具体包括：</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（1）提供政务云基础服务，包括计算服务、存储服务和网络服务等基础环境日常维护、应急响应等工作。</w:t>
      </w:r>
    </w:p>
    <w:p>
      <w:pPr>
        <w:snapToGrid w:val="0"/>
        <w:spacing w:line="360" w:lineRule="auto"/>
        <w:ind w:firstLine="480" w:firstLineChars="200"/>
        <w:rPr>
          <w:rFonts w:ascii="宋体" w:hAnsi="宋体" w:cs="宋体"/>
          <w:bCs/>
          <w:sz w:val="24"/>
        </w:rPr>
      </w:pPr>
      <w:r>
        <w:rPr>
          <w:rFonts w:hint="eastAsia" w:ascii="宋体" w:hAnsi="宋体" w:cs="宋体"/>
          <w:bCs/>
          <w:sz w:val="24"/>
        </w:rPr>
        <w:t>（2）提供政务云扩展服务，包括基础软件支撑服务、其他服务、安全服务、密码云服务。</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（3）提供7*24运维保障，做好重大活动和节假日应急值守保障服务，确保各系统在政务云环境中可靠稳定运行。</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（4）服务期内，投标人须完成信息系统的日常运维和安全运维服务工作（包括但不限于：云平台服务、日常技术支持、安全及保密要求、响应的及时性），确保入云系统安全、稳定的运行。</w:t>
      </w:r>
    </w:p>
    <w:p>
      <w:pPr>
        <w:pStyle w:val="4"/>
        <w:ind w:firstLine="720"/>
      </w:pPr>
      <w:r>
        <w:t>1.2 需执行的国家相关标准、行业标准、地方标准或者其他标准、规范</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（1）国家及北京市有关政策</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《关键信息基础设施安全保护条例》（中华人民共和国国务院令第745号）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《国家政务信息化项目建设管理办法》（国办发〔2019〕57号）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《政府采购需求管理办法》(财库〔2021〕22号)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《关于促进政府采购公平竞争优化营商环境的通知》（财库〔2019〕38号）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《关于进一步提高政府采购透明度和采购效率相关事项的通知》（财办库〔2023〕243号）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《工业和信息化部信息通信管理局关于督促互联网网络接入服务企业依法持证经营的通知》（工信管函〔2018〕84号）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《云计算服务安全评估办法》（国家互联网信息办公室、国家发展和改革委员会、工业和信息化部、财政部公告2019年2号）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《关于加强党政部门云计算服务网络安全管理的意见》（中网办发文〔2014〕14号）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《基于云计算的电子政务公共平台顶层设计指南》</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《北京市财政局关于印发&lt;北京市政府采购负面清单&gt;的通知》（京财采购〔2020〕1345号）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《北京市财政局关于落实好政府采购支持中小企业发展的通知（京财采购〔2022〕1143号）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《关于印发&lt;关于推进我市政务信息系统整合共享的实施方案&gt;的通知》（京经信委发〔2017〕89号）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《北京市人民政府关于印发&lt;北京市政务信息资源管理办法（试行）&gt;的通知》（京政发〔2017〕37号）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《关于印发&lt;北京市市级政务云管理办法&gt;的通知》（京经信函〔2019〕150号）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《北京市政务网络和数据安全管理办法》（京经信发〔2023〕57号）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《北京市“十四五”时期智慧城市建设控制性规划要求（试行）》（京大数据发〔2021〕2号）</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（2）国家相关标准</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《国家电子政务外网安全接入平台技术规范》</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《信息技术—云计算—云服务质量评价指标》（GB/T 37738-2019）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《信息技术—云计算—云服务计量指标》（GB/T 37735-2019）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《信息技术—云计算—云服务采购指南》（GB/T 37734-2019）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《信息技术—云计算—云存储系统服务接口功能》（GB/T 37732-2019）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《信息技术—云计算—云资源监控通用要求》（GB/T 37736-2019）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《信息技术—云计算—云平台间应用和数据迁移指南》（GB/T 37740-2019）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《信息技术—云计算—云服务交付要求》（GB/T 37741-2019）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《信息系统灾难恢复规范》（GB/T 20988-2007）</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 云计算服务安全能力要求》（GB/T 31168-2014）</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《信息安全技术网络安全等级保护定级指南》（GB/T22240-2020）</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《信息安全技术网络安全等级保护实施指南》（GB/T25058-2019）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《信息安全技术网络安全等级保护安全设计技术要求》（GB/T25070-2019）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《信息安全技术网络安全等级保护基本要求》（GB/T22239-2019）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《信息安全技术网络安全等级保护测评要求》（GB/T28448-20190）</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《信息安全技术网络安全等级保护测评过程指南》（GB/T28449-2018）</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《信息安全技术网络安全等级保护测试评估技术指南》（GB/T36627-2018）</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 信息系统密码应用基本要求》（GB/T39786-2021）</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 信息安全风险评估方法》（GB/T 20984-2022）</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 云计算服务安全指南》（GB/T 31167-2014）</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 政府网站云计算服务安全指南》（GB/T 38249—2019）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 云计算安全参考架构》（GB/T 35279—2017）</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 云计算服务安全能力评估方法》GB/T 34942—2017</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《信息安全技术 云计算服务运行监管框架》（GB/T 37972—2019）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《信息技术 云资源监控指标体系》（GB/T 37938-2019）</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《电子信息系统机房设计规范》（GB50174-2017）</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《数据中心电信基础设施标准》（ANSI/TIA-942）</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《综合布线系统工程设计规范》（GB 50311—2016）</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《云计算关键领域安全指南V4.0》</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《信息技术互连国际标准》（ISO/IEC11801-2002）</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《信息技术系统间远程通信和信息交换局域网和城域网》GB/T15629.11-2003）</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（3）北京市相关标准</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《政务云平台建设技术要求》（DB11/T 2169-2023）</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《北京市政务云安全技术规范 IaaS云计算平台分册》</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《北京市政务云安全技术规范 IaaS云计算平台安全监管接口分册》</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《北京市政务云安全技术规范 信息安全服务接口分册》</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（4）其他</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《北京市市级行政事业单位云计算服务框架协议采购项目（2023 年度）》征集文件第四部分采购需求中技术要求</w:t>
      </w:r>
    </w:p>
    <w:p>
      <w:pPr>
        <w:spacing w:line="360" w:lineRule="auto"/>
        <w:ind w:firstLine="422" w:firstLineChars="200"/>
        <w:contextualSpacing/>
        <w:rPr>
          <w:sz w:val="24"/>
        </w:rPr>
      </w:pPr>
      <w:r>
        <w:rPr>
          <w:rFonts w:hint="eastAsia" w:ascii="楷体" w:hAnsi="楷体" w:eastAsia="楷体" w:cs="宋体"/>
          <w:b/>
          <w:bCs/>
          <w:szCs w:val="21"/>
        </w:rPr>
        <w:t>注：服务标准涉及的国家标准及北京市标准有更新的，执行最新标准。</w:t>
      </w:r>
    </w:p>
    <w:p>
      <w:pPr>
        <w:spacing w:line="360" w:lineRule="auto"/>
        <w:contextualSpacing/>
        <w:rPr>
          <w:sz w:val="24"/>
        </w:rPr>
      </w:pPr>
    </w:p>
    <w:p>
      <w:pPr>
        <w:pStyle w:val="3"/>
      </w:pPr>
      <w:r>
        <w:t>2. 服务内容及要求</w:t>
      </w:r>
    </w:p>
    <w:p>
      <w:pPr>
        <w:pStyle w:val="4"/>
        <w:rPr>
          <w:rFonts w:hint="eastAsia"/>
        </w:rPr>
      </w:pPr>
      <w:r>
        <w:rPr>
          <w:rFonts w:hint="eastAsia"/>
        </w:rPr>
        <w:t>2.1</w:t>
      </w:r>
      <w:r>
        <w:t xml:space="preserve"> </w:t>
      </w:r>
      <w:r>
        <w:rPr>
          <w:rFonts w:hint="eastAsia"/>
        </w:rPr>
        <w:t>服务内容清单</w:t>
      </w:r>
    </w:p>
    <w:p>
      <w:pPr>
        <w:pStyle w:val="4"/>
        <w:snapToGrid w:val="0"/>
      </w:pPr>
      <w:r>
        <w:rPr>
          <w:rFonts w:hint="eastAsia" w:ascii="楷体" w:hAnsi="楷体" w:eastAsia="楷体" w:cs="楷体"/>
        </w:rPr>
        <w:t>（1）政务云基础服务</w:t>
      </w:r>
    </w:p>
    <w:tbl>
      <w:tblPr>
        <w:tblStyle w:val="7"/>
        <w:tblW w:w="8636"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688"/>
        <w:gridCol w:w="1268"/>
        <w:gridCol w:w="3016"/>
        <w:gridCol w:w="1026"/>
        <w:gridCol w:w="688"/>
        <w:gridCol w:w="747"/>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14" w:type="dxa"/>
            <w:shd w:val="clear" w:color="auto" w:fill="D9D9D9"/>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688" w:type="dxa"/>
            <w:shd w:val="clear" w:color="auto" w:fill="D9D9D9"/>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服务类别</w:t>
            </w:r>
          </w:p>
        </w:tc>
        <w:tc>
          <w:tcPr>
            <w:tcW w:w="1268" w:type="dxa"/>
            <w:shd w:val="clear" w:color="auto" w:fill="D9D9D9"/>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服务子类</w:t>
            </w:r>
          </w:p>
        </w:tc>
        <w:tc>
          <w:tcPr>
            <w:tcW w:w="3016" w:type="dxa"/>
            <w:shd w:val="clear" w:color="auto" w:fill="D9D9D9"/>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服务项</w:t>
            </w:r>
          </w:p>
        </w:tc>
        <w:tc>
          <w:tcPr>
            <w:tcW w:w="1026" w:type="dxa"/>
            <w:shd w:val="clear" w:color="auto" w:fill="D9D9D9"/>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计价单位</w:t>
            </w:r>
          </w:p>
        </w:tc>
        <w:tc>
          <w:tcPr>
            <w:tcW w:w="688" w:type="dxa"/>
            <w:shd w:val="clear" w:color="auto" w:fill="D9D9D9"/>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报价单位</w:t>
            </w:r>
          </w:p>
        </w:tc>
        <w:tc>
          <w:tcPr>
            <w:tcW w:w="747" w:type="dxa"/>
            <w:shd w:val="clear" w:color="auto" w:fill="D9D9D9"/>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689" w:type="dxa"/>
            <w:shd w:val="clear" w:color="auto" w:fill="D9D9D9"/>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514" w:type="dxa"/>
            <w:shd w:val="clear" w:color="auto" w:fill="FFFFFF"/>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688" w:type="dxa"/>
            <w:vMerge w:val="restart"/>
            <w:shd w:val="clear" w:color="auto" w:fill="FFFFFF"/>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计算服务</w:t>
            </w:r>
          </w:p>
        </w:tc>
        <w:tc>
          <w:tcPr>
            <w:tcW w:w="1268" w:type="dxa"/>
            <w:vMerge w:val="restart"/>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政务云平台云主机服务</w:t>
            </w:r>
          </w:p>
        </w:tc>
        <w:tc>
          <w:tcPr>
            <w:tcW w:w="3016" w:type="dxa"/>
            <w:shd w:val="clear" w:color="auto" w:fill="FFFFFF"/>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vCPU(主频不低于2.4GHz）</w:t>
            </w:r>
          </w:p>
        </w:tc>
        <w:tc>
          <w:tcPr>
            <w:tcW w:w="1026"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1CPU</w:t>
            </w:r>
          </w:p>
        </w:tc>
        <w:tc>
          <w:tcPr>
            <w:tcW w:w="68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812</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514" w:type="dxa"/>
            <w:shd w:val="clear" w:color="auto" w:fill="FFFFFF"/>
            <w:noWrap/>
            <w:vAlign w:val="center"/>
          </w:tcPr>
          <w:p>
            <w:pPr>
              <w:jc w:val="center"/>
              <w:rPr>
                <w:rFonts w:hint="eastAsia" w:ascii="宋体" w:hAnsi="宋体" w:cs="宋体"/>
                <w:color w:val="000000"/>
                <w:szCs w:val="21"/>
              </w:rPr>
            </w:pPr>
            <w:r>
              <w:rPr>
                <w:rFonts w:hint="eastAsia" w:ascii="宋体" w:hAnsi="宋体" w:cs="宋体"/>
                <w:color w:val="000000"/>
                <w:szCs w:val="21"/>
              </w:rPr>
              <w:t>2</w:t>
            </w:r>
          </w:p>
        </w:tc>
        <w:tc>
          <w:tcPr>
            <w:tcW w:w="688" w:type="dxa"/>
            <w:vMerge w:val="continue"/>
            <w:shd w:val="clear" w:color="auto" w:fill="FFFFFF"/>
            <w:noWrap w:val="0"/>
            <w:vAlign w:val="center"/>
          </w:tcPr>
          <w:p>
            <w:pPr>
              <w:jc w:val="center"/>
              <w:rPr>
                <w:rFonts w:hint="eastAsia" w:ascii="宋体" w:hAnsi="宋体" w:cs="宋体"/>
                <w:b/>
                <w:bCs/>
                <w:color w:val="000000"/>
                <w:szCs w:val="21"/>
              </w:rPr>
            </w:pPr>
          </w:p>
        </w:tc>
        <w:tc>
          <w:tcPr>
            <w:tcW w:w="1268" w:type="dxa"/>
            <w:vMerge w:val="continue"/>
            <w:shd w:val="clear" w:color="auto" w:fill="FFFFFF"/>
            <w:noWrap w:val="0"/>
            <w:vAlign w:val="center"/>
          </w:tcPr>
          <w:p>
            <w:pPr>
              <w:jc w:val="center"/>
              <w:rPr>
                <w:rFonts w:hint="eastAsia" w:ascii="宋体" w:hAnsi="宋体" w:cs="宋体"/>
                <w:color w:val="000000"/>
                <w:szCs w:val="21"/>
              </w:rPr>
            </w:pPr>
          </w:p>
        </w:tc>
        <w:tc>
          <w:tcPr>
            <w:tcW w:w="3016" w:type="dxa"/>
            <w:shd w:val="clear" w:color="auto" w:fill="FFFFFF"/>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vCPU(主频不低于2.4GHz）</w:t>
            </w:r>
          </w:p>
        </w:tc>
        <w:tc>
          <w:tcPr>
            <w:tcW w:w="1026"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1CPU</w:t>
            </w:r>
          </w:p>
        </w:tc>
        <w:tc>
          <w:tcPr>
            <w:tcW w:w="68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72</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514" w:type="dxa"/>
            <w:shd w:val="clear" w:color="auto" w:fill="FFFFFF"/>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688" w:type="dxa"/>
            <w:vMerge w:val="continue"/>
            <w:shd w:val="clear" w:color="auto" w:fill="FFFFFF"/>
            <w:noWrap w:val="0"/>
            <w:vAlign w:val="center"/>
          </w:tcPr>
          <w:p>
            <w:pPr>
              <w:jc w:val="center"/>
              <w:rPr>
                <w:rFonts w:hint="eastAsia" w:ascii="宋体" w:hAnsi="宋体" w:cs="宋体"/>
                <w:b/>
                <w:bCs/>
                <w:color w:val="000000"/>
                <w:szCs w:val="21"/>
              </w:rPr>
            </w:pPr>
          </w:p>
        </w:tc>
        <w:tc>
          <w:tcPr>
            <w:tcW w:w="1268" w:type="dxa"/>
            <w:vMerge w:val="continue"/>
            <w:shd w:val="clear" w:color="auto" w:fill="FFFFFF"/>
            <w:noWrap w:val="0"/>
            <w:vAlign w:val="center"/>
          </w:tcPr>
          <w:p>
            <w:pPr>
              <w:jc w:val="center"/>
              <w:rPr>
                <w:rFonts w:hint="eastAsia" w:ascii="宋体" w:hAnsi="宋体" w:cs="宋体"/>
                <w:color w:val="000000"/>
                <w:szCs w:val="21"/>
              </w:rPr>
            </w:pPr>
          </w:p>
        </w:tc>
        <w:tc>
          <w:tcPr>
            <w:tcW w:w="3016" w:type="dxa"/>
            <w:shd w:val="clear" w:color="auto" w:fill="FFFFFF"/>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内存</w:t>
            </w:r>
          </w:p>
        </w:tc>
        <w:tc>
          <w:tcPr>
            <w:tcW w:w="1026"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1GB</w:t>
            </w:r>
          </w:p>
        </w:tc>
        <w:tc>
          <w:tcPr>
            <w:tcW w:w="68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2008</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14" w:type="dxa"/>
            <w:shd w:val="clear" w:color="auto" w:fill="FFFFFF"/>
            <w:noWrap/>
            <w:vAlign w:val="center"/>
          </w:tcPr>
          <w:p>
            <w:pPr>
              <w:jc w:val="center"/>
              <w:rPr>
                <w:rFonts w:hint="eastAsia" w:ascii="宋体" w:hAnsi="宋体" w:cs="宋体"/>
                <w:color w:val="000000"/>
                <w:szCs w:val="21"/>
              </w:rPr>
            </w:pPr>
            <w:r>
              <w:rPr>
                <w:rFonts w:hint="eastAsia" w:ascii="宋体" w:hAnsi="宋体" w:cs="宋体"/>
                <w:color w:val="000000"/>
                <w:szCs w:val="21"/>
              </w:rPr>
              <w:t>4</w:t>
            </w:r>
          </w:p>
        </w:tc>
        <w:tc>
          <w:tcPr>
            <w:tcW w:w="688" w:type="dxa"/>
            <w:vMerge w:val="continue"/>
            <w:shd w:val="clear" w:color="auto" w:fill="FFFFFF"/>
            <w:noWrap w:val="0"/>
            <w:vAlign w:val="center"/>
          </w:tcPr>
          <w:p>
            <w:pPr>
              <w:jc w:val="center"/>
              <w:rPr>
                <w:rFonts w:hint="eastAsia" w:ascii="宋体" w:hAnsi="宋体" w:cs="宋体"/>
                <w:b/>
                <w:bCs/>
                <w:color w:val="000000"/>
                <w:szCs w:val="21"/>
              </w:rPr>
            </w:pPr>
          </w:p>
        </w:tc>
        <w:tc>
          <w:tcPr>
            <w:tcW w:w="1268" w:type="dxa"/>
            <w:vMerge w:val="continue"/>
            <w:shd w:val="clear" w:color="auto" w:fill="FFFFFF"/>
            <w:noWrap w:val="0"/>
            <w:vAlign w:val="center"/>
          </w:tcPr>
          <w:p>
            <w:pPr>
              <w:jc w:val="center"/>
              <w:rPr>
                <w:rFonts w:hint="eastAsia" w:ascii="宋体" w:hAnsi="宋体" w:cs="宋体"/>
                <w:color w:val="000000"/>
                <w:szCs w:val="21"/>
              </w:rPr>
            </w:pPr>
          </w:p>
        </w:tc>
        <w:tc>
          <w:tcPr>
            <w:tcW w:w="3016" w:type="dxa"/>
            <w:shd w:val="clear" w:color="auto" w:fill="FFFFFF"/>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内存</w:t>
            </w:r>
          </w:p>
        </w:tc>
        <w:tc>
          <w:tcPr>
            <w:tcW w:w="1026"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1GB</w:t>
            </w:r>
          </w:p>
        </w:tc>
        <w:tc>
          <w:tcPr>
            <w:tcW w:w="68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144</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4" w:type="dxa"/>
            <w:shd w:val="clear" w:color="auto" w:fill="FFFFFF"/>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688" w:type="dxa"/>
            <w:vMerge w:val="restart"/>
            <w:shd w:val="clear" w:color="auto" w:fill="FFFFFF"/>
            <w:noWrap w:val="0"/>
            <w:vAlign w:val="center"/>
          </w:tcPr>
          <w:p>
            <w:pPr>
              <w:jc w:val="center"/>
              <w:rPr>
                <w:rFonts w:hint="eastAsia" w:ascii="宋体" w:hAnsi="宋体" w:cs="宋体"/>
                <w:b/>
                <w:bCs/>
                <w:color w:val="000000"/>
                <w:szCs w:val="21"/>
              </w:rPr>
            </w:pPr>
            <w:r>
              <w:rPr>
                <w:rFonts w:hint="eastAsia" w:ascii="宋体" w:hAnsi="宋体" w:cs="宋体"/>
                <w:b/>
                <w:bCs/>
                <w:color w:val="000000"/>
                <w:kern w:val="0"/>
                <w:szCs w:val="21"/>
                <w:lang w:bidi="ar"/>
              </w:rPr>
              <w:t>存储服务</w:t>
            </w:r>
          </w:p>
        </w:tc>
        <w:tc>
          <w:tcPr>
            <w:tcW w:w="1268" w:type="dxa"/>
            <w:vMerge w:val="restart"/>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高性能存储</w:t>
            </w:r>
          </w:p>
        </w:tc>
        <w:tc>
          <w:tcPr>
            <w:tcW w:w="3016" w:type="dxa"/>
            <w:shd w:val="clear" w:color="auto" w:fill="FFFFFF"/>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高性能存储（单盘技术指标：单盘IOPS 3000-20000）</w:t>
            </w:r>
          </w:p>
        </w:tc>
        <w:tc>
          <w:tcPr>
            <w:tcW w:w="1026"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1GB</w:t>
            </w:r>
          </w:p>
        </w:tc>
        <w:tc>
          <w:tcPr>
            <w:tcW w:w="68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75180</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514" w:type="dxa"/>
            <w:shd w:val="clear" w:color="auto" w:fill="FFFFFF"/>
            <w:noWrap/>
            <w:vAlign w:val="center"/>
          </w:tcPr>
          <w:p>
            <w:pPr>
              <w:jc w:val="center"/>
              <w:rPr>
                <w:rFonts w:hint="eastAsia" w:ascii="宋体" w:hAnsi="宋体" w:cs="宋体"/>
                <w:color w:val="000000"/>
                <w:szCs w:val="21"/>
              </w:rPr>
            </w:pPr>
            <w:r>
              <w:rPr>
                <w:rFonts w:hint="eastAsia" w:ascii="宋体" w:hAnsi="宋体" w:cs="宋体"/>
                <w:color w:val="000000"/>
                <w:szCs w:val="21"/>
              </w:rPr>
              <w:t>6</w:t>
            </w:r>
          </w:p>
        </w:tc>
        <w:tc>
          <w:tcPr>
            <w:tcW w:w="688" w:type="dxa"/>
            <w:vMerge w:val="continue"/>
            <w:shd w:val="clear" w:color="auto" w:fill="FFFFFF"/>
            <w:noWrap w:val="0"/>
            <w:vAlign w:val="center"/>
          </w:tcPr>
          <w:p>
            <w:pPr>
              <w:jc w:val="center"/>
              <w:rPr>
                <w:rFonts w:hint="eastAsia" w:ascii="宋体" w:hAnsi="宋体" w:cs="宋体"/>
                <w:b/>
                <w:bCs/>
                <w:color w:val="000000"/>
                <w:szCs w:val="21"/>
              </w:rPr>
            </w:pPr>
          </w:p>
        </w:tc>
        <w:tc>
          <w:tcPr>
            <w:tcW w:w="1268" w:type="dxa"/>
            <w:vMerge w:val="continue"/>
            <w:shd w:val="clear" w:color="auto" w:fill="FFFFFF"/>
            <w:noWrap w:val="0"/>
            <w:vAlign w:val="center"/>
          </w:tcPr>
          <w:p>
            <w:pPr>
              <w:jc w:val="center"/>
              <w:rPr>
                <w:rFonts w:hint="eastAsia" w:ascii="宋体" w:hAnsi="宋体" w:cs="宋体"/>
                <w:color w:val="000000"/>
                <w:szCs w:val="21"/>
              </w:rPr>
            </w:pPr>
          </w:p>
        </w:tc>
        <w:tc>
          <w:tcPr>
            <w:tcW w:w="3016" w:type="dxa"/>
            <w:shd w:val="clear" w:color="auto" w:fill="FFFFFF"/>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高性能存储（单盘技术指标：单盘IOPS 3000-20000）</w:t>
            </w:r>
          </w:p>
        </w:tc>
        <w:tc>
          <w:tcPr>
            <w:tcW w:w="1026"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1GB</w:t>
            </w:r>
          </w:p>
        </w:tc>
        <w:tc>
          <w:tcPr>
            <w:tcW w:w="68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5400</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514" w:type="dxa"/>
            <w:shd w:val="clear" w:color="auto" w:fill="FFFFFF"/>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688" w:type="dxa"/>
            <w:vMerge w:val="restart"/>
            <w:shd w:val="clear" w:color="auto" w:fill="FFFFFF"/>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网络服务</w:t>
            </w:r>
          </w:p>
        </w:tc>
        <w:tc>
          <w:tcPr>
            <w:tcW w:w="1268" w:type="dxa"/>
            <w:vMerge w:val="restart"/>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互联网链路服务</w:t>
            </w:r>
          </w:p>
        </w:tc>
        <w:tc>
          <w:tcPr>
            <w:tcW w:w="3016"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互联网链路带宽</w:t>
            </w:r>
          </w:p>
        </w:tc>
        <w:tc>
          <w:tcPr>
            <w:tcW w:w="1026"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1Mb</w:t>
            </w:r>
          </w:p>
        </w:tc>
        <w:tc>
          <w:tcPr>
            <w:tcW w:w="688"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200</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14" w:type="dxa"/>
            <w:shd w:val="clear" w:color="auto" w:fill="FFFFFF"/>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688" w:type="dxa"/>
            <w:vMerge w:val="continue"/>
            <w:shd w:val="clear" w:color="auto" w:fill="FFFFFF"/>
            <w:noWrap w:val="0"/>
            <w:vAlign w:val="center"/>
          </w:tcPr>
          <w:p>
            <w:pPr>
              <w:jc w:val="center"/>
              <w:rPr>
                <w:rFonts w:hint="eastAsia" w:ascii="宋体" w:hAnsi="宋体" w:cs="宋体"/>
                <w:b/>
                <w:bCs/>
                <w:color w:val="000000"/>
                <w:szCs w:val="21"/>
              </w:rPr>
            </w:pPr>
          </w:p>
        </w:tc>
        <w:tc>
          <w:tcPr>
            <w:tcW w:w="1268" w:type="dxa"/>
            <w:vMerge w:val="continue"/>
            <w:noWrap w:val="0"/>
            <w:vAlign w:val="center"/>
          </w:tcPr>
          <w:p>
            <w:pPr>
              <w:jc w:val="center"/>
              <w:rPr>
                <w:rFonts w:hint="eastAsia" w:ascii="宋体" w:hAnsi="宋体" w:cs="宋体"/>
                <w:color w:val="000000"/>
                <w:szCs w:val="21"/>
              </w:rPr>
            </w:pPr>
          </w:p>
        </w:tc>
        <w:tc>
          <w:tcPr>
            <w:tcW w:w="3016" w:type="dxa"/>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互联网IP地址租用服务、并提供备案服务</w:t>
            </w:r>
          </w:p>
        </w:tc>
        <w:tc>
          <w:tcPr>
            <w:tcW w:w="1026"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1IP</w:t>
            </w:r>
          </w:p>
        </w:tc>
        <w:tc>
          <w:tcPr>
            <w:tcW w:w="688" w:type="dxa"/>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11</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4" w:type="dxa"/>
            <w:shd w:val="clear" w:color="auto" w:fill="FFFFFF"/>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688" w:type="dxa"/>
            <w:vMerge w:val="continue"/>
            <w:shd w:val="clear" w:color="auto" w:fill="FFFFFF"/>
            <w:noWrap w:val="0"/>
            <w:vAlign w:val="center"/>
          </w:tcPr>
          <w:p>
            <w:pPr>
              <w:jc w:val="center"/>
              <w:rPr>
                <w:rFonts w:hint="eastAsia" w:ascii="宋体" w:hAnsi="宋体" w:cs="宋体"/>
                <w:b/>
                <w:bCs/>
                <w:color w:val="000000"/>
                <w:szCs w:val="21"/>
              </w:rPr>
            </w:pPr>
          </w:p>
        </w:tc>
        <w:tc>
          <w:tcPr>
            <w:tcW w:w="126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主机负载均衡服务</w:t>
            </w:r>
          </w:p>
        </w:tc>
        <w:tc>
          <w:tcPr>
            <w:tcW w:w="3016" w:type="dxa"/>
            <w:shd w:val="clear" w:color="auto" w:fill="FFFFFF"/>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主机负载均衡服务</w:t>
            </w:r>
          </w:p>
        </w:tc>
        <w:tc>
          <w:tcPr>
            <w:tcW w:w="1026"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1IP（内网）</w:t>
            </w:r>
          </w:p>
        </w:tc>
        <w:tc>
          <w:tcPr>
            <w:tcW w:w="68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13</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14" w:type="dxa"/>
            <w:shd w:val="clear" w:color="auto" w:fill="FFFFFF"/>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688" w:type="dxa"/>
            <w:vMerge w:val="continue"/>
            <w:shd w:val="clear" w:color="auto" w:fill="FFFFFF"/>
            <w:noWrap w:val="0"/>
            <w:vAlign w:val="center"/>
          </w:tcPr>
          <w:p>
            <w:pPr>
              <w:jc w:val="center"/>
              <w:rPr>
                <w:rFonts w:hint="eastAsia" w:ascii="宋体" w:hAnsi="宋体" w:cs="宋体"/>
                <w:b/>
                <w:bCs/>
                <w:color w:val="000000"/>
                <w:szCs w:val="21"/>
              </w:rPr>
            </w:pPr>
          </w:p>
        </w:tc>
        <w:tc>
          <w:tcPr>
            <w:tcW w:w="126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远程接入服务</w:t>
            </w:r>
          </w:p>
        </w:tc>
        <w:tc>
          <w:tcPr>
            <w:tcW w:w="3016" w:type="dxa"/>
            <w:shd w:val="clear" w:color="auto" w:fill="FFFFFF"/>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远程接入服务</w:t>
            </w:r>
          </w:p>
        </w:tc>
        <w:tc>
          <w:tcPr>
            <w:tcW w:w="1026"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1账号</w:t>
            </w:r>
          </w:p>
        </w:tc>
        <w:tc>
          <w:tcPr>
            <w:tcW w:w="68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12</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514" w:type="dxa"/>
            <w:shd w:val="clear" w:color="auto" w:fill="FFFFFF"/>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688" w:type="dxa"/>
            <w:vMerge w:val="continue"/>
            <w:shd w:val="clear" w:color="auto" w:fill="FFFFFF"/>
            <w:noWrap w:val="0"/>
            <w:vAlign w:val="center"/>
          </w:tcPr>
          <w:p>
            <w:pPr>
              <w:jc w:val="center"/>
              <w:rPr>
                <w:rFonts w:hint="eastAsia" w:ascii="宋体" w:hAnsi="宋体" w:cs="宋体"/>
                <w:b/>
                <w:bCs/>
                <w:color w:val="000000"/>
                <w:szCs w:val="21"/>
              </w:rPr>
            </w:pPr>
          </w:p>
        </w:tc>
        <w:tc>
          <w:tcPr>
            <w:tcW w:w="126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VPN服务</w:t>
            </w:r>
          </w:p>
        </w:tc>
        <w:tc>
          <w:tcPr>
            <w:tcW w:w="3016" w:type="dxa"/>
            <w:shd w:val="clear" w:color="auto" w:fill="FFFFFF"/>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SSL VPN 接入</w:t>
            </w:r>
          </w:p>
        </w:tc>
        <w:tc>
          <w:tcPr>
            <w:tcW w:w="1026"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1套</w:t>
            </w:r>
          </w:p>
        </w:tc>
        <w:tc>
          <w:tcPr>
            <w:tcW w:w="68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14</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14" w:type="dxa"/>
            <w:shd w:val="clear" w:color="auto" w:fill="FFFFFF"/>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688" w:type="dxa"/>
            <w:vMerge w:val="continue"/>
            <w:shd w:val="clear" w:color="auto" w:fill="FFFFFF"/>
            <w:noWrap w:val="0"/>
            <w:vAlign w:val="center"/>
          </w:tcPr>
          <w:p>
            <w:pPr>
              <w:jc w:val="center"/>
              <w:rPr>
                <w:rFonts w:hint="eastAsia" w:ascii="宋体" w:hAnsi="宋体" w:cs="宋体"/>
                <w:b/>
                <w:bCs/>
                <w:color w:val="000000"/>
                <w:szCs w:val="21"/>
              </w:rPr>
            </w:pPr>
          </w:p>
        </w:tc>
        <w:tc>
          <w:tcPr>
            <w:tcW w:w="126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WAF防护</w:t>
            </w:r>
          </w:p>
        </w:tc>
        <w:tc>
          <w:tcPr>
            <w:tcW w:w="3016" w:type="dxa"/>
            <w:shd w:val="clear" w:color="auto" w:fill="FFFFFF"/>
            <w:noWrap w:val="0"/>
            <w:vAlign w:val="center"/>
          </w:tcPr>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web应用防火墙服务</w:t>
            </w:r>
          </w:p>
        </w:tc>
        <w:tc>
          <w:tcPr>
            <w:tcW w:w="1026"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1IP（互联网）</w:t>
            </w:r>
          </w:p>
        </w:tc>
        <w:tc>
          <w:tcPr>
            <w:tcW w:w="688" w:type="dxa"/>
            <w:shd w:val="clear" w:color="auto" w:fill="FFFFFF"/>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元/月</w:t>
            </w:r>
          </w:p>
        </w:tc>
        <w:tc>
          <w:tcPr>
            <w:tcW w:w="747" w:type="dxa"/>
            <w:noWrap/>
            <w:vAlign w:val="center"/>
          </w:tcPr>
          <w:p>
            <w:pPr>
              <w:widowControl/>
              <w:jc w:val="right"/>
              <w:textAlignment w:val="center"/>
              <w:rPr>
                <w:rFonts w:hint="eastAsia" w:ascii="宋体" w:hAnsi="宋体" w:cs="宋体"/>
                <w:b/>
                <w:bCs/>
                <w:color w:val="000000"/>
                <w:szCs w:val="21"/>
              </w:rPr>
            </w:pPr>
            <w:r>
              <w:rPr>
                <w:rFonts w:hint="eastAsia" w:ascii="宋体" w:hAnsi="宋体" w:cs="宋体"/>
                <w:b/>
                <w:bCs/>
                <w:color w:val="000000"/>
                <w:kern w:val="0"/>
                <w:szCs w:val="21"/>
                <w:lang w:bidi="ar"/>
              </w:rPr>
              <w:t>10</w:t>
            </w:r>
          </w:p>
        </w:tc>
        <w:tc>
          <w:tcPr>
            <w:tcW w:w="689" w:type="dxa"/>
            <w:noWrap/>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r>
    </w:tbl>
    <w:p>
      <w:pPr>
        <w:widowControl/>
        <w:spacing w:line="360" w:lineRule="auto"/>
        <w:contextualSpacing/>
        <w:rPr>
          <w:sz w:val="24"/>
        </w:rPr>
      </w:pPr>
    </w:p>
    <w:p>
      <w:pPr>
        <w:pStyle w:val="4"/>
        <w:snapToGrid w:val="0"/>
      </w:pPr>
      <w:r>
        <w:rPr>
          <w:rFonts w:hint="eastAsia" w:ascii="楷体" w:hAnsi="楷体" w:eastAsia="楷体" w:cs="楷体"/>
        </w:rPr>
        <w:t>（2）政务云扩展服务</w:t>
      </w:r>
    </w:p>
    <w:tbl>
      <w:tblPr>
        <w:tblStyle w:val="7"/>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492"/>
        <w:gridCol w:w="2026"/>
        <w:gridCol w:w="2544"/>
        <w:gridCol w:w="984"/>
        <w:gridCol w:w="745"/>
        <w:gridCol w:w="841"/>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532" w:type="dxa"/>
            <w:shd w:val="clear" w:color="auto" w:fill="D9D9D9"/>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492" w:type="dxa"/>
            <w:shd w:val="clear" w:color="auto" w:fill="D9D9D9"/>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服务类别</w:t>
            </w:r>
          </w:p>
        </w:tc>
        <w:tc>
          <w:tcPr>
            <w:tcW w:w="2026" w:type="dxa"/>
            <w:shd w:val="clear" w:color="auto" w:fill="D9D9D9"/>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服务子类</w:t>
            </w:r>
          </w:p>
        </w:tc>
        <w:tc>
          <w:tcPr>
            <w:tcW w:w="2544" w:type="dxa"/>
            <w:shd w:val="clear" w:color="auto" w:fill="D9D9D9"/>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服务项</w:t>
            </w:r>
          </w:p>
        </w:tc>
        <w:tc>
          <w:tcPr>
            <w:tcW w:w="984" w:type="dxa"/>
            <w:shd w:val="clear" w:color="auto" w:fill="D9D9D9"/>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计价单位</w:t>
            </w:r>
          </w:p>
        </w:tc>
        <w:tc>
          <w:tcPr>
            <w:tcW w:w="745" w:type="dxa"/>
            <w:shd w:val="clear" w:color="auto" w:fill="D9D9D9"/>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报价单位</w:t>
            </w:r>
          </w:p>
        </w:tc>
        <w:tc>
          <w:tcPr>
            <w:tcW w:w="841" w:type="dxa"/>
            <w:shd w:val="clear" w:color="auto" w:fill="D9D9D9"/>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数量</w:t>
            </w:r>
          </w:p>
        </w:tc>
        <w:tc>
          <w:tcPr>
            <w:tcW w:w="555" w:type="dxa"/>
            <w:shd w:val="clear" w:color="auto" w:fill="D9D9D9"/>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92" w:type="dxa"/>
            <w:vMerge w:val="restart"/>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基础软件支撑服务</w:t>
            </w: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商用操作系统套餐</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Windows Server套餐：Windows Server租用、安装及维护。</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1个云主机</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7</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492" w:type="dxa"/>
            <w:vMerge w:val="continue"/>
            <w:noWrap w:val="0"/>
            <w:vAlign w:val="center"/>
          </w:tcPr>
          <w:p>
            <w:pPr>
              <w:jc w:val="center"/>
              <w:rPr>
                <w:rFonts w:hint="eastAsia" w:ascii="宋体" w:hAnsi="宋体" w:cs="宋体"/>
                <w:b/>
                <w:bCs/>
                <w:color w:val="000000"/>
                <w:sz w:val="20"/>
                <w:szCs w:val="20"/>
              </w:rPr>
            </w:pPr>
          </w:p>
        </w:tc>
        <w:tc>
          <w:tcPr>
            <w:tcW w:w="202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国产商用操作系统套餐</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提供国产商用操作系统安装和维护服务</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1个云主机</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30</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492" w:type="dxa"/>
            <w:vMerge w:val="continue"/>
            <w:noWrap w:val="0"/>
            <w:vAlign w:val="center"/>
          </w:tcPr>
          <w:p>
            <w:pPr>
              <w:jc w:val="center"/>
              <w:rPr>
                <w:rFonts w:hint="eastAsia" w:ascii="宋体" w:hAnsi="宋体" w:cs="宋体"/>
                <w:b/>
                <w:bCs/>
                <w:color w:val="000000"/>
                <w:sz w:val="20"/>
                <w:szCs w:val="20"/>
              </w:rPr>
            </w:pPr>
          </w:p>
        </w:tc>
        <w:tc>
          <w:tcPr>
            <w:tcW w:w="2026" w:type="dxa"/>
            <w:vMerge w:val="continue"/>
            <w:noWrap w:val="0"/>
            <w:vAlign w:val="center"/>
          </w:tcPr>
          <w:p>
            <w:pPr>
              <w:jc w:val="center"/>
              <w:rPr>
                <w:rFonts w:hint="eastAsia" w:ascii="宋体" w:hAnsi="宋体" w:cs="宋体"/>
                <w:color w:val="000000"/>
                <w:sz w:val="20"/>
                <w:szCs w:val="20"/>
              </w:rPr>
            </w:pP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提供国产商用操作系统安装和维护服务</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1个云主机</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9</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492" w:type="dxa"/>
            <w:vMerge w:val="continue"/>
            <w:noWrap w:val="0"/>
            <w:vAlign w:val="center"/>
          </w:tcPr>
          <w:p>
            <w:pPr>
              <w:jc w:val="center"/>
              <w:rPr>
                <w:rFonts w:hint="eastAsia" w:ascii="宋体" w:hAnsi="宋体" w:cs="宋体"/>
                <w:b/>
                <w:bCs/>
                <w:color w:val="000000"/>
                <w:sz w:val="20"/>
                <w:szCs w:val="20"/>
              </w:rPr>
            </w:pP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国产化操作系统</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中标麒麟、统信等国产化操作系统</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1个云主机</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41</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492" w:type="dxa"/>
            <w:vMerge w:val="continue"/>
            <w:noWrap w:val="0"/>
            <w:vAlign w:val="center"/>
          </w:tcPr>
          <w:p>
            <w:pPr>
              <w:jc w:val="center"/>
              <w:rPr>
                <w:rFonts w:hint="eastAsia" w:ascii="宋体" w:hAnsi="宋体" w:cs="宋体"/>
                <w:b/>
                <w:bCs/>
                <w:color w:val="000000"/>
                <w:sz w:val="20"/>
                <w:szCs w:val="20"/>
              </w:rPr>
            </w:pP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国产化数据库套餐</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国产商用数据库租用、安装及维护（至少支持3种国产数据库）</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1套</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套/年</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7</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492" w:type="dxa"/>
            <w:vMerge w:val="continue"/>
            <w:noWrap w:val="0"/>
            <w:vAlign w:val="center"/>
          </w:tcPr>
          <w:p>
            <w:pPr>
              <w:jc w:val="center"/>
              <w:rPr>
                <w:rFonts w:hint="eastAsia" w:ascii="宋体" w:hAnsi="宋体" w:cs="宋体"/>
                <w:b/>
                <w:bCs/>
                <w:color w:val="000000"/>
                <w:sz w:val="20"/>
                <w:szCs w:val="20"/>
              </w:rPr>
            </w:pP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办公软件套餐</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WPS文档中台系统V7</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1套</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套/年</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1</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492" w:type="dxa"/>
            <w:noWrap w:val="0"/>
            <w:vAlign w:val="center"/>
          </w:tcPr>
          <w:p>
            <w:pPr>
              <w:widowControl/>
              <w:jc w:val="lef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其他服务</w:t>
            </w: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租用快照备份服务</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租用快照备份服务</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磁盘GB</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元/月</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5280</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492" w:type="dxa"/>
            <w:vMerge w:val="restart"/>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安全服务</w:t>
            </w: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云端抗DDOS服务</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云端抗DDOS服务</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1站点</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元/月</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2</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492" w:type="dxa"/>
            <w:vMerge w:val="continue"/>
            <w:noWrap w:val="0"/>
            <w:vAlign w:val="center"/>
          </w:tcPr>
          <w:p>
            <w:pPr>
              <w:jc w:val="center"/>
              <w:rPr>
                <w:rFonts w:hint="eastAsia" w:ascii="宋体" w:hAnsi="宋体" w:cs="宋体"/>
                <w:b/>
                <w:bCs/>
                <w:color w:val="000000"/>
                <w:sz w:val="20"/>
                <w:szCs w:val="20"/>
              </w:rPr>
            </w:pP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云端APT防护服务</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云端APT防护服务</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1套</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元/月</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2</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492" w:type="dxa"/>
            <w:vMerge w:val="continue"/>
            <w:noWrap w:val="0"/>
            <w:vAlign w:val="center"/>
          </w:tcPr>
          <w:p>
            <w:pPr>
              <w:jc w:val="center"/>
              <w:rPr>
                <w:rFonts w:hint="eastAsia" w:ascii="宋体" w:hAnsi="宋体" w:cs="宋体"/>
                <w:b/>
                <w:bCs/>
                <w:color w:val="000000"/>
                <w:sz w:val="20"/>
                <w:szCs w:val="20"/>
              </w:rPr>
            </w:pP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主机杀毒服务</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主机杀毒服务</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1台</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元/月</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91</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492" w:type="dxa"/>
            <w:vMerge w:val="restart"/>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密码云服务</w:t>
            </w: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签名验证服务QD-MSSP-S</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为系统提供签名验签、杂凑等密码运算服务，保证重要数据的完整性</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1项</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元/年</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1</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492" w:type="dxa"/>
            <w:vMerge w:val="continue"/>
            <w:noWrap w:val="0"/>
            <w:vAlign w:val="center"/>
          </w:tcPr>
          <w:p>
            <w:pPr>
              <w:jc w:val="center"/>
              <w:rPr>
                <w:rFonts w:hint="eastAsia" w:ascii="宋体" w:hAnsi="宋体" w:cs="宋体"/>
                <w:b/>
                <w:bCs/>
                <w:color w:val="000000"/>
                <w:sz w:val="20"/>
                <w:szCs w:val="20"/>
              </w:rPr>
            </w:pP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加解密服务QD-MSSP-D</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实现对称密钥、非对称密钥全生命周期管理，为系统提供数据加解密服务，确保平台中重要数据存储的机密性</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1项</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元/年</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1</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492" w:type="dxa"/>
            <w:vMerge w:val="continue"/>
            <w:noWrap w:val="0"/>
            <w:vAlign w:val="center"/>
          </w:tcPr>
          <w:p>
            <w:pPr>
              <w:jc w:val="center"/>
              <w:rPr>
                <w:rFonts w:hint="eastAsia" w:ascii="宋体" w:hAnsi="宋体" w:cs="宋体"/>
                <w:b/>
                <w:bCs/>
                <w:color w:val="000000"/>
                <w:sz w:val="20"/>
                <w:szCs w:val="20"/>
              </w:rPr>
            </w:pP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时间戳服务QD-MSSP-TSS</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基于国家标准时间源，通过PKI技术为应用系统提供安全、可信的时间戳服务</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1项</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元/年</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1</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32"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492" w:type="dxa"/>
            <w:vMerge w:val="continue"/>
            <w:noWrap w:val="0"/>
            <w:vAlign w:val="center"/>
          </w:tcPr>
          <w:p>
            <w:pPr>
              <w:jc w:val="center"/>
              <w:rPr>
                <w:rFonts w:hint="eastAsia" w:ascii="宋体" w:hAnsi="宋体" w:cs="宋体"/>
                <w:b/>
                <w:bCs/>
                <w:color w:val="000000"/>
                <w:sz w:val="20"/>
                <w:szCs w:val="20"/>
              </w:rPr>
            </w:pPr>
          </w:p>
        </w:tc>
        <w:tc>
          <w:tcPr>
            <w:tcW w:w="202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SSL安全服务（国密）QD-MSSP-NAG</w:t>
            </w:r>
          </w:p>
        </w:tc>
        <w:tc>
          <w:tcPr>
            <w:tcW w:w="2544" w:type="dxa"/>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基于SM2/3/4算法SSL建立通信信道，保证用户访问系统以及重要数据传输过程中的机密性和完整性</w:t>
            </w:r>
          </w:p>
        </w:tc>
        <w:tc>
          <w:tcPr>
            <w:tcW w:w="984"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1项</w:t>
            </w:r>
          </w:p>
        </w:tc>
        <w:tc>
          <w:tcPr>
            <w:tcW w:w="745"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元/年</w:t>
            </w:r>
          </w:p>
        </w:tc>
        <w:tc>
          <w:tcPr>
            <w:tcW w:w="841" w:type="dxa"/>
            <w:noWrap/>
            <w:vAlign w:val="center"/>
          </w:tcPr>
          <w:p>
            <w:pPr>
              <w:widowControl/>
              <w:jc w:val="righ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1</w:t>
            </w:r>
          </w:p>
        </w:tc>
        <w:tc>
          <w:tcPr>
            <w:tcW w:w="555" w:type="dxa"/>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bl>
    <w:p>
      <w:pPr>
        <w:pStyle w:val="10"/>
        <w:adjustRightInd w:val="0"/>
        <w:spacing w:line="360" w:lineRule="auto"/>
        <w:ind w:firstLine="424" w:firstLineChars="177"/>
        <w:contextualSpacing/>
        <w:jc w:val="left"/>
        <w:rPr>
          <w:rFonts w:ascii="Times New Roman" w:hAnsi="Times New Roman"/>
          <w:sz w:val="24"/>
          <w:szCs w:val="24"/>
        </w:rPr>
      </w:pPr>
    </w:p>
    <w:p>
      <w:pPr>
        <w:pStyle w:val="4"/>
        <w:ind w:firstLine="720"/>
        <w:rPr>
          <w:rFonts w:hint="eastAsia" w:ascii="Times New Roman"/>
        </w:rPr>
      </w:pPr>
      <w:r>
        <w:rPr>
          <w:rFonts w:hint="eastAsia" w:ascii="Times New Roman"/>
        </w:rPr>
        <w:t>2.2 服务标准要求</w:t>
      </w:r>
    </w:p>
    <w:p>
      <w:pPr>
        <w:pStyle w:val="6"/>
        <w:jc w:val="left"/>
        <w:rPr>
          <w:rFonts w:hint="eastAsia" w:ascii="宋体" w:hAnsi="宋体" w:cs="宋体"/>
        </w:rPr>
      </w:pPr>
      <w:bookmarkStart w:id="0" w:name="_Toc14505"/>
      <w:r>
        <w:rPr>
          <w:rFonts w:hint="eastAsia" w:ascii="宋体" w:hAnsi="宋体" w:cs="宋体"/>
        </w:rPr>
        <w:t xml:space="preserve">2.2.1 </w:t>
      </w:r>
      <w:r>
        <w:rPr>
          <w:rFonts w:hint="eastAsia" w:ascii="宋体" w:hAnsi="宋体" w:cs="宋体"/>
          <w:lang w:val="en-US" w:eastAsia="zh-CN"/>
        </w:rPr>
        <w:t>计算</w:t>
      </w:r>
      <w:r>
        <w:rPr>
          <w:rFonts w:hint="eastAsia" w:ascii="宋体" w:hAnsi="宋体" w:cs="宋体"/>
        </w:rPr>
        <w:t>服务</w:t>
      </w:r>
      <w:bookmarkEnd w:id="0"/>
    </w:p>
    <w:p>
      <w:pPr>
        <w:spacing w:line="360" w:lineRule="auto"/>
        <w:ind w:firstLine="482" w:firstLineChars="200"/>
        <w:rPr>
          <w:rFonts w:hint="eastAsia" w:ascii="宋体" w:hAnsi="宋体" w:cs="宋体"/>
          <w:b/>
          <w:bCs/>
          <w:sz w:val="24"/>
        </w:rPr>
      </w:pPr>
      <w:r>
        <w:rPr>
          <w:rFonts w:hint="eastAsia" w:ascii="宋体" w:hAnsi="宋体" w:cs="宋体"/>
          <w:b/>
          <w:bCs/>
          <w:sz w:val="24"/>
        </w:rPr>
        <w:t>1.服务内容</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按照采购人的具体需求，提供云主机服务，按需求对CPU及内存进行动态调整，实现合理的计算资源配置。在提供政务云主机的服务过程中做好与采购人和对应项目应用开发厂商的协调沟通工作。</w:t>
      </w:r>
    </w:p>
    <w:p>
      <w:pPr>
        <w:spacing w:line="360" w:lineRule="auto"/>
        <w:ind w:firstLine="482" w:firstLineChars="200"/>
        <w:rPr>
          <w:rFonts w:hint="eastAsia" w:ascii="宋体" w:hAnsi="宋体" w:cs="宋体"/>
          <w:b/>
          <w:bCs/>
          <w:sz w:val="24"/>
        </w:rPr>
      </w:pPr>
      <w:r>
        <w:rPr>
          <w:rFonts w:hint="eastAsia" w:ascii="宋体" w:hAnsi="宋体" w:cs="宋体"/>
          <w:b/>
          <w:bCs/>
          <w:sz w:val="24"/>
        </w:rPr>
        <w:t>2. 服务标准</w:t>
      </w:r>
    </w:p>
    <w:p>
      <w:pPr>
        <w:pStyle w:val="5"/>
        <w:snapToGrid w:val="0"/>
        <w:spacing w:line="360" w:lineRule="auto"/>
        <w:ind w:firstLine="480"/>
        <w:rPr>
          <w:rFonts w:hint="eastAsia" w:hAnsi="宋体" w:cs="宋体"/>
        </w:rPr>
      </w:pPr>
      <w:r>
        <w:rPr>
          <w:rFonts w:hint="eastAsia" w:hAnsi="宋体" w:cs="宋体"/>
        </w:rPr>
        <w:t>（1）云主机应实现物理机的全部功能，如具有CPU、存储、内存、网卡等资源，可以指定单独的IP地址、MAC地址等；</w:t>
      </w:r>
    </w:p>
    <w:p>
      <w:pPr>
        <w:pStyle w:val="5"/>
        <w:snapToGrid w:val="0"/>
        <w:spacing w:line="360" w:lineRule="auto"/>
        <w:ind w:firstLine="480"/>
        <w:rPr>
          <w:rFonts w:hint="eastAsia" w:hAnsi="宋体" w:cs="宋体"/>
        </w:rPr>
      </w:pPr>
      <w:r>
        <w:rPr>
          <w:rFonts w:hint="eastAsia" w:hAnsi="宋体" w:cs="宋体"/>
        </w:rPr>
        <w:t>（2）支持存储裸设备映射（RDM），可以将存储设备上的LUN直接映射给虚拟机使用，并且支持SCSI指令使用透传模式或者非透传模式；</w:t>
      </w:r>
    </w:p>
    <w:p>
      <w:pPr>
        <w:pStyle w:val="5"/>
        <w:snapToGrid w:val="0"/>
        <w:spacing w:line="360" w:lineRule="auto"/>
        <w:ind w:firstLine="480"/>
        <w:rPr>
          <w:rFonts w:hint="eastAsia" w:hAnsi="宋体" w:cs="宋体"/>
        </w:rPr>
      </w:pPr>
      <w:r>
        <w:rPr>
          <w:rFonts w:hint="eastAsia" w:hAnsi="宋体" w:cs="宋体"/>
        </w:rPr>
        <w:t>（3）云主机提供基于GPU图形图像计算服务；</w:t>
      </w:r>
    </w:p>
    <w:p>
      <w:pPr>
        <w:pStyle w:val="5"/>
        <w:snapToGrid w:val="0"/>
        <w:spacing w:line="360" w:lineRule="auto"/>
        <w:ind w:firstLine="480"/>
        <w:rPr>
          <w:rFonts w:hint="eastAsia" w:hAnsi="宋体" w:cs="宋体"/>
        </w:rPr>
      </w:pPr>
      <w:r>
        <w:rPr>
          <w:rFonts w:hint="eastAsia" w:hAnsi="宋体" w:cs="宋体"/>
        </w:rPr>
        <w:t>（4）应满足云主机之间、CPU之间隔离保护要求；</w:t>
      </w:r>
    </w:p>
    <w:p>
      <w:pPr>
        <w:pStyle w:val="5"/>
        <w:snapToGrid w:val="0"/>
        <w:spacing w:line="360" w:lineRule="auto"/>
        <w:ind w:firstLine="480"/>
        <w:rPr>
          <w:rFonts w:hint="eastAsia" w:hAnsi="宋体" w:cs="宋体"/>
        </w:rPr>
      </w:pPr>
      <w:r>
        <w:rPr>
          <w:rFonts w:hint="eastAsia" w:hAnsi="宋体" w:cs="宋体"/>
        </w:rPr>
        <w:t>（5）支持资源的动态调整，根据业务的负载情况实现业务系统虚拟机的动态扩展和回收，支持手动和自动方式，自动方式可基于主机的CPU、内存、磁盘IO、网络流量等性能参数阈值进行动态调度；</w:t>
      </w:r>
    </w:p>
    <w:p>
      <w:pPr>
        <w:pStyle w:val="5"/>
        <w:snapToGrid w:val="0"/>
        <w:spacing w:line="360" w:lineRule="auto"/>
        <w:ind w:firstLine="480"/>
        <w:rPr>
          <w:rFonts w:hint="eastAsia" w:hAnsi="宋体" w:cs="宋体"/>
        </w:rPr>
      </w:pPr>
      <w:r>
        <w:rPr>
          <w:rFonts w:hint="eastAsia" w:hAnsi="宋体" w:cs="宋体"/>
        </w:rPr>
        <w:t>（6）支持在线进行虚拟化软件版本升级，不同版本之间可以相互兼容；</w:t>
      </w:r>
    </w:p>
    <w:p>
      <w:pPr>
        <w:pStyle w:val="5"/>
        <w:snapToGrid w:val="0"/>
        <w:spacing w:line="360" w:lineRule="auto"/>
        <w:ind w:firstLine="480"/>
        <w:rPr>
          <w:rFonts w:hint="eastAsia" w:hAnsi="宋体" w:cs="宋体"/>
        </w:rPr>
      </w:pPr>
      <w:r>
        <w:rPr>
          <w:rFonts w:hint="eastAsia" w:hAnsi="宋体" w:cs="宋体"/>
        </w:rPr>
        <w:t>（7）云主机出现故障时，支持自动重启或者迁移，保障业务连续性；</w:t>
      </w:r>
    </w:p>
    <w:p>
      <w:pPr>
        <w:pStyle w:val="5"/>
        <w:snapToGrid w:val="0"/>
        <w:spacing w:line="360" w:lineRule="auto"/>
        <w:ind w:firstLine="480"/>
        <w:rPr>
          <w:rFonts w:hint="eastAsia" w:hAnsi="宋体" w:cs="宋体"/>
        </w:rPr>
      </w:pPr>
      <w:r>
        <w:rPr>
          <w:rFonts w:hint="eastAsia" w:hAnsi="宋体" w:cs="宋体"/>
        </w:rPr>
        <w:t>（8） 支持虚拟机热迁移，可在不同代CPU资源池中进行虚拟机热迁移；</w:t>
      </w:r>
    </w:p>
    <w:p>
      <w:pPr>
        <w:pStyle w:val="5"/>
        <w:snapToGrid w:val="0"/>
        <w:spacing w:line="360" w:lineRule="auto"/>
        <w:ind w:firstLine="480"/>
        <w:rPr>
          <w:rFonts w:hint="eastAsia" w:hAnsi="宋体" w:cs="宋体"/>
        </w:rPr>
      </w:pPr>
      <w:r>
        <w:rPr>
          <w:rFonts w:hint="eastAsia" w:hAnsi="宋体" w:cs="宋体"/>
        </w:rPr>
        <w:t>（9）云计算资源性能要求包括但不限于如下：</w:t>
      </w:r>
    </w:p>
    <w:p>
      <w:pPr>
        <w:pStyle w:val="5"/>
        <w:snapToGrid w:val="0"/>
        <w:spacing w:line="360" w:lineRule="auto"/>
        <w:ind w:firstLine="480"/>
        <w:rPr>
          <w:rFonts w:hint="eastAsia" w:hAnsi="宋体" w:cs="宋体"/>
        </w:rPr>
      </w:pPr>
      <w:r>
        <w:rPr>
          <w:rFonts w:hint="eastAsia" w:hAnsi="宋体" w:cs="宋体"/>
        </w:rPr>
        <w:t>云主机</w:t>
      </w:r>
      <w:r>
        <w:rPr>
          <w:rFonts w:hint="eastAsia" w:hAnsi="宋体" w:cs="宋体"/>
          <w:color w:val="000000"/>
          <w:lang w:bidi="ar"/>
        </w:rPr>
        <w:t>vCPU主频不低于2.4GHz</w:t>
      </w:r>
      <w:r>
        <w:rPr>
          <w:rFonts w:hint="eastAsia" w:hAnsi="宋体" w:cs="宋体"/>
        </w:rPr>
        <w:t>；</w:t>
      </w:r>
    </w:p>
    <w:p>
      <w:pPr>
        <w:pStyle w:val="5"/>
        <w:snapToGrid w:val="0"/>
        <w:spacing w:line="360" w:lineRule="auto"/>
        <w:ind w:firstLine="480"/>
        <w:rPr>
          <w:rFonts w:hint="eastAsia" w:hAnsi="宋体" w:cs="宋体"/>
        </w:rPr>
      </w:pPr>
      <w:r>
        <w:rPr>
          <w:rFonts w:hint="eastAsia" w:hAnsi="宋体" w:cs="宋体"/>
        </w:rPr>
        <w:t>可用性不低于99.99%。</w:t>
      </w:r>
    </w:p>
    <w:p>
      <w:pPr>
        <w:pStyle w:val="5"/>
        <w:snapToGrid w:val="0"/>
        <w:ind w:firstLine="482"/>
        <w:rPr>
          <w:rFonts w:hint="eastAsia" w:hAnsi="宋体" w:cs="宋体"/>
          <w:b/>
        </w:rPr>
      </w:pPr>
    </w:p>
    <w:p>
      <w:pPr>
        <w:pStyle w:val="6"/>
        <w:ind w:firstLine="720"/>
        <w:jc w:val="left"/>
        <w:rPr>
          <w:rFonts w:hint="eastAsia" w:ascii="宋体" w:hAnsi="宋体" w:cs="宋体"/>
        </w:rPr>
      </w:pPr>
      <w:r>
        <w:rPr>
          <w:rFonts w:hint="eastAsia" w:ascii="宋体" w:hAnsi="宋体" w:cs="宋体"/>
        </w:rPr>
        <w:t>2.2.2 存储服务</w:t>
      </w:r>
    </w:p>
    <w:p>
      <w:pPr>
        <w:spacing w:line="360" w:lineRule="auto"/>
        <w:ind w:firstLine="482" w:firstLineChars="200"/>
        <w:rPr>
          <w:rFonts w:hint="eastAsia" w:ascii="宋体" w:hAnsi="宋体" w:cs="宋体"/>
          <w:b/>
          <w:bCs/>
          <w:sz w:val="24"/>
        </w:rPr>
      </w:pPr>
      <w:r>
        <w:rPr>
          <w:rFonts w:hint="eastAsia" w:ascii="宋体" w:hAnsi="宋体" w:cs="宋体"/>
          <w:b/>
          <w:bCs/>
          <w:sz w:val="24"/>
        </w:rPr>
        <w:t>1.服务内容</w:t>
      </w:r>
    </w:p>
    <w:p>
      <w:pPr>
        <w:pStyle w:val="5"/>
        <w:snapToGrid w:val="0"/>
        <w:spacing w:line="360" w:lineRule="auto"/>
        <w:ind w:firstLine="480"/>
        <w:rPr>
          <w:rFonts w:hint="eastAsia" w:hAnsi="宋体" w:cs="宋体"/>
        </w:rPr>
      </w:pPr>
      <w:r>
        <w:rPr>
          <w:rFonts w:hint="eastAsia" w:hAnsi="宋体" w:cs="宋体"/>
        </w:rPr>
        <w:t>按照采购人的具体需求，提供高性能存储服务，在提供政务云存储的服务过程中需做好采购人和对应项目应用开发厂商的协调沟通工作。</w:t>
      </w:r>
    </w:p>
    <w:p>
      <w:pPr>
        <w:spacing w:line="360" w:lineRule="auto"/>
        <w:ind w:firstLine="482" w:firstLineChars="200"/>
        <w:rPr>
          <w:rFonts w:hint="eastAsia" w:ascii="宋体" w:hAnsi="宋体" w:cs="宋体"/>
          <w:b/>
          <w:bCs/>
          <w:sz w:val="24"/>
        </w:rPr>
      </w:pPr>
      <w:r>
        <w:rPr>
          <w:rFonts w:hint="eastAsia" w:ascii="宋体" w:hAnsi="宋体" w:cs="宋体"/>
          <w:b/>
          <w:bCs/>
          <w:sz w:val="24"/>
        </w:rPr>
        <w:t>2.服务标准</w:t>
      </w:r>
    </w:p>
    <w:p>
      <w:pPr>
        <w:pStyle w:val="5"/>
        <w:snapToGrid w:val="0"/>
        <w:spacing w:line="360" w:lineRule="auto"/>
        <w:ind w:firstLine="480"/>
        <w:rPr>
          <w:rFonts w:hint="eastAsia" w:hAnsi="宋体" w:cs="宋体"/>
        </w:rPr>
      </w:pPr>
      <w:r>
        <w:rPr>
          <w:rFonts w:hint="eastAsia" w:hAnsi="宋体" w:cs="宋体"/>
        </w:rPr>
        <w:t>（1）支持结构化数据、半结构化数据和非结构化数据等多种数据类型存储；</w:t>
      </w:r>
    </w:p>
    <w:p>
      <w:pPr>
        <w:pStyle w:val="5"/>
        <w:snapToGrid w:val="0"/>
        <w:spacing w:line="360" w:lineRule="auto"/>
        <w:ind w:firstLine="480"/>
        <w:rPr>
          <w:rFonts w:hint="eastAsia" w:hAnsi="宋体" w:cs="宋体"/>
        </w:rPr>
      </w:pPr>
      <w:r>
        <w:rPr>
          <w:rFonts w:hint="eastAsia" w:hAnsi="宋体" w:cs="宋体"/>
        </w:rPr>
        <w:t>（2）支持块存储、对象存储、文件存储等多种存储方法，满足数据备份、视频存储等不同应用场景使用要求；</w:t>
      </w:r>
    </w:p>
    <w:p>
      <w:pPr>
        <w:pStyle w:val="5"/>
        <w:snapToGrid w:val="0"/>
        <w:spacing w:line="360" w:lineRule="auto"/>
        <w:ind w:firstLine="480"/>
        <w:rPr>
          <w:rFonts w:hint="eastAsia" w:hAnsi="宋体" w:cs="宋体"/>
        </w:rPr>
      </w:pPr>
      <w:r>
        <w:rPr>
          <w:rFonts w:hint="eastAsia" w:hAnsi="宋体" w:cs="宋体"/>
        </w:rPr>
        <w:t>（3）支持存储资源扩展能力，例如：PB级扩展；</w:t>
      </w:r>
    </w:p>
    <w:p>
      <w:pPr>
        <w:pStyle w:val="5"/>
        <w:snapToGrid w:val="0"/>
        <w:spacing w:line="360" w:lineRule="auto"/>
        <w:ind w:firstLine="480"/>
        <w:rPr>
          <w:rFonts w:hint="eastAsia" w:hAnsi="宋体" w:cs="宋体"/>
        </w:rPr>
      </w:pPr>
      <w:r>
        <w:rPr>
          <w:rFonts w:hint="eastAsia" w:hAnsi="宋体" w:cs="宋体"/>
        </w:rPr>
        <w:t>（4）支持磁盘容错技术，如磁盘故障后节点的自动平衡和重构、硬盘故障检测和处理、集群节点出现单盘故障时不影响业务运行等；</w:t>
      </w:r>
    </w:p>
    <w:p>
      <w:pPr>
        <w:pStyle w:val="5"/>
        <w:snapToGrid w:val="0"/>
        <w:spacing w:line="360" w:lineRule="auto"/>
        <w:ind w:firstLine="480"/>
        <w:rPr>
          <w:rFonts w:hint="eastAsia" w:hAnsi="宋体" w:cs="宋体"/>
        </w:rPr>
      </w:pPr>
      <w:r>
        <w:rPr>
          <w:rFonts w:hint="eastAsia" w:hAnsi="宋体" w:cs="宋体"/>
        </w:rPr>
        <w:t>（5）存储资源性能要求包括但不限于如下：</w:t>
      </w:r>
    </w:p>
    <w:p>
      <w:pPr>
        <w:pStyle w:val="5"/>
        <w:snapToGrid w:val="0"/>
        <w:spacing w:line="360" w:lineRule="auto"/>
        <w:ind w:firstLine="480"/>
        <w:rPr>
          <w:rFonts w:hint="eastAsia" w:hAnsi="宋体" w:cs="宋体"/>
        </w:rPr>
      </w:pPr>
      <w:r>
        <w:rPr>
          <w:rFonts w:hint="eastAsia" w:hAnsi="宋体" w:cs="宋体"/>
        </w:rPr>
        <w:t>支持高可靠性，可靠性不低于99.99%；</w:t>
      </w:r>
    </w:p>
    <w:p>
      <w:pPr>
        <w:pStyle w:val="5"/>
        <w:snapToGrid w:val="0"/>
        <w:spacing w:line="360" w:lineRule="auto"/>
        <w:ind w:firstLine="480"/>
        <w:rPr>
          <w:rFonts w:hint="eastAsia" w:hAnsi="宋体" w:cs="宋体"/>
        </w:rPr>
      </w:pPr>
      <w:r>
        <w:rPr>
          <w:rFonts w:hint="eastAsia" w:hAnsi="宋体" w:cs="宋体"/>
        </w:rPr>
        <w:t>对于块存储服务，高性能存储单盘技术指标：IOPS大于等于10000。</w:t>
      </w:r>
    </w:p>
    <w:p>
      <w:pPr>
        <w:pStyle w:val="5"/>
        <w:snapToGrid w:val="0"/>
        <w:ind w:firstLine="482"/>
        <w:rPr>
          <w:rFonts w:hint="eastAsia" w:hAnsi="宋体" w:cs="宋体"/>
          <w:b/>
        </w:rPr>
      </w:pPr>
    </w:p>
    <w:p>
      <w:pPr>
        <w:pStyle w:val="6"/>
        <w:ind w:firstLine="720"/>
        <w:jc w:val="left"/>
        <w:rPr>
          <w:rFonts w:ascii="宋体" w:hAnsi="宋体" w:cs="宋体"/>
        </w:rPr>
      </w:pPr>
      <w:r>
        <w:rPr>
          <w:rFonts w:hint="eastAsia" w:ascii="宋体" w:hAnsi="宋体" w:cs="宋体"/>
        </w:rPr>
        <w:t xml:space="preserve">2.2.3 </w:t>
      </w:r>
      <w:r>
        <w:rPr>
          <w:rFonts w:ascii="宋体" w:hAnsi="宋体" w:cs="宋体"/>
        </w:rPr>
        <w:t>网络服务</w:t>
      </w:r>
    </w:p>
    <w:p>
      <w:pPr>
        <w:spacing w:line="360" w:lineRule="auto"/>
        <w:ind w:firstLine="482" w:firstLineChars="200"/>
        <w:rPr>
          <w:rFonts w:hint="eastAsia" w:ascii="宋体" w:hAnsi="宋体" w:cs="宋体"/>
          <w:b/>
          <w:bCs/>
          <w:sz w:val="24"/>
        </w:rPr>
      </w:pPr>
      <w:r>
        <w:rPr>
          <w:rFonts w:hint="eastAsia" w:ascii="宋体" w:hAnsi="宋体" w:cs="宋体"/>
          <w:b/>
          <w:bCs/>
          <w:sz w:val="24"/>
        </w:rPr>
        <w:t>1.服务内容</w:t>
      </w:r>
    </w:p>
    <w:p>
      <w:pPr>
        <w:pStyle w:val="5"/>
        <w:snapToGrid w:val="0"/>
        <w:spacing w:line="360" w:lineRule="auto"/>
        <w:ind w:firstLine="480"/>
        <w:rPr>
          <w:rFonts w:hint="eastAsia" w:hAnsi="宋体" w:cs="宋体"/>
        </w:rPr>
      </w:pPr>
      <w:r>
        <w:rPr>
          <w:rFonts w:hint="eastAsia" w:hAnsi="宋体" w:cs="宋体"/>
        </w:rPr>
        <w:t>（1）提供互联网链路带宽服务、互联网IP地址租用服务，并提供相应的网络域名备案服务，配合应用开发厂商提供网络策略配置服务。</w:t>
      </w:r>
    </w:p>
    <w:p>
      <w:pPr>
        <w:pStyle w:val="5"/>
        <w:snapToGrid w:val="0"/>
        <w:spacing w:line="360" w:lineRule="auto"/>
        <w:ind w:firstLine="480"/>
        <w:rPr>
          <w:rFonts w:hint="eastAsia" w:hAnsi="宋体" w:cs="宋体"/>
        </w:rPr>
      </w:pPr>
      <w:r>
        <w:rPr>
          <w:rFonts w:hint="eastAsia" w:hAnsi="宋体" w:cs="宋体"/>
        </w:rPr>
        <w:t>（2）主机负载均衡服务，通过云管理平台实现针每租户按需自动分配负载均衡服务的能力。</w:t>
      </w:r>
    </w:p>
    <w:p>
      <w:pPr>
        <w:pStyle w:val="5"/>
        <w:snapToGrid w:val="0"/>
        <w:spacing w:line="360" w:lineRule="auto"/>
        <w:ind w:firstLine="480"/>
        <w:rPr>
          <w:rFonts w:hint="eastAsia" w:hAnsi="宋体" w:cs="宋体"/>
        </w:rPr>
      </w:pPr>
      <w:r>
        <w:rPr>
          <w:rFonts w:hint="eastAsia" w:hAnsi="宋体" w:cs="宋体"/>
        </w:rPr>
        <w:t>（3）远程接入服务，提供互联网远程接入服务，每个账号结合身份验证接入堡垒机维护应用系统。</w:t>
      </w:r>
    </w:p>
    <w:p>
      <w:pPr>
        <w:pStyle w:val="5"/>
        <w:snapToGrid w:val="0"/>
        <w:spacing w:line="360" w:lineRule="auto"/>
        <w:ind w:firstLine="480"/>
        <w:rPr>
          <w:rFonts w:hint="eastAsia" w:hAnsi="宋体" w:cs="宋体"/>
        </w:rPr>
      </w:pPr>
      <w:r>
        <w:rPr>
          <w:rFonts w:hint="eastAsia" w:hAnsi="宋体" w:cs="宋体"/>
        </w:rPr>
        <w:t>（4）VPN服务，含SSL VPN接入服务。</w:t>
      </w:r>
    </w:p>
    <w:p>
      <w:pPr>
        <w:pStyle w:val="5"/>
        <w:snapToGrid w:val="0"/>
        <w:ind w:firstLine="480"/>
        <w:rPr>
          <w:rFonts w:hint="eastAsia" w:hAnsi="宋体" w:cs="宋体"/>
        </w:rPr>
      </w:pPr>
      <w:r>
        <w:rPr>
          <w:rFonts w:hint="eastAsia" w:hAnsi="宋体" w:cs="宋体"/>
        </w:rPr>
        <w:t>（5）WAF防护服务</w:t>
      </w:r>
    </w:p>
    <w:p>
      <w:pPr>
        <w:pStyle w:val="5"/>
        <w:snapToGrid w:val="0"/>
        <w:spacing w:line="360" w:lineRule="auto"/>
        <w:ind w:firstLine="480"/>
        <w:rPr>
          <w:rFonts w:hint="eastAsia" w:hAnsi="宋体" w:cs="宋体"/>
        </w:rPr>
      </w:pPr>
      <w:r>
        <w:rPr>
          <w:rFonts w:hint="eastAsia" w:hAnsi="宋体" w:cs="宋体"/>
        </w:rPr>
        <w:t>按照采购人的具体需求，提供互联网WAF防护服务，保证用户对已知安全隐患进行防护，实时升级漏洞补丁，配置防护策略，起到前端防护作用。</w:t>
      </w:r>
    </w:p>
    <w:p>
      <w:pPr>
        <w:spacing w:line="360" w:lineRule="auto"/>
        <w:ind w:firstLine="482" w:firstLineChars="200"/>
        <w:rPr>
          <w:rFonts w:hint="eastAsia" w:ascii="宋体" w:hAnsi="宋体" w:cs="宋体"/>
          <w:b/>
          <w:bCs/>
          <w:sz w:val="24"/>
        </w:rPr>
      </w:pPr>
      <w:r>
        <w:rPr>
          <w:rFonts w:hint="eastAsia" w:ascii="宋体" w:hAnsi="宋体" w:cs="宋体"/>
          <w:b/>
          <w:bCs/>
          <w:sz w:val="24"/>
        </w:rPr>
        <w:t>2.服务标准</w:t>
      </w:r>
    </w:p>
    <w:p>
      <w:pPr>
        <w:pStyle w:val="5"/>
        <w:snapToGrid w:val="0"/>
        <w:spacing w:line="360" w:lineRule="auto"/>
        <w:ind w:firstLine="480"/>
        <w:rPr>
          <w:rFonts w:hint="eastAsia" w:hAnsi="宋体" w:cs="宋体"/>
        </w:rPr>
      </w:pPr>
      <w:r>
        <w:rPr>
          <w:rFonts w:hint="eastAsia" w:hAnsi="宋体" w:cs="宋体"/>
        </w:rPr>
        <w:t>网络系统提供稳定的数据传输能力，一般要求如下：</w:t>
      </w:r>
    </w:p>
    <w:p>
      <w:pPr>
        <w:pStyle w:val="5"/>
        <w:snapToGrid w:val="0"/>
        <w:spacing w:line="360" w:lineRule="auto"/>
        <w:ind w:firstLine="480"/>
        <w:rPr>
          <w:rFonts w:hint="eastAsia" w:hAnsi="宋体" w:cs="宋体"/>
        </w:rPr>
      </w:pPr>
      <w:r>
        <w:rPr>
          <w:rFonts w:hint="eastAsia" w:hAnsi="宋体" w:cs="宋体"/>
        </w:rPr>
        <w:t>（1）具备多运营商网络接入服务的能力；</w:t>
      </w:r>
    </w:p>
    <w:p>
      <w:pPr>
        <w:pStyle w:val="5"/>
        <w:snapToGrid w:val="0"/>
        <w:spacing w:line="360" w:lineRule="auto"/>
        <w:ind w:firstLine="480"/>
        <w:rPr>
          <w:rFonts w:hint="eastAsia" w:hAnsi="宋体" w:cs="宋体"/>
        </w:rPr>
      </w:pPr>
      <w:r>
        <w:rPr>
          <w:rFonts w:hint="eastAsia" w:hAnsi="宋体" w:cs="宋体"/>
        </w:rPr>
        <w:t>（2）数据中心组网架构设计可采用大二层网络架构，支持云主机无障碍动态迁移；</w:t>
      </w:r>
    </w:p>
    <w:p>
      <w:pPr>
        <w:pStyle w:val="5"/>
        <w:snapToGrid w:val="0"/>
        <w:spacing w:line="360" w:lineRule="auto"/>
        <w:ind w:firstLine="480"/>
        <w:rPr>
          <w:rFonts w:hint="eastAsia" w:hAnsi="宋体" w:cs="宋体"/>
        </w:rPr>
      </w:pPr>
      <w:r>
        <w:rPr>
          <w:rFonts w:hint="eastAsia" w:hAnsi="宋体" w:cs="宋体"/>
        </w:rPr>
        <w:t>（3）应采用集群部署网络控制，以保障升级时业务不中断；</w:t>
      </w:r>
    </w:p>
    <w:p>
      <w:pPr>
        <w:pStyle w:val="5"/>
        <w:snapToGrid w:val="0"/>
        <w:spacing w:line="360" w:lineRule="auto"/>
        <w:ind w:firstLine="480"/>
        <w:rPr>
          <w:rFonts w:hint="eastAsia" w:hAnsi="宋体" w:cs="宋体"/>
        </w:rPr>
      </w:pPr>
      <w:r>
        <w:rPr>
          <w:rFonts w:hint="eastAsia" w:hAnsi="宋体" w:cs="宋体"/>
        </w:rPr>
        <w:t>（4）应实现自动化动态网络资源调配和隔离，支持与互联网、电子政务外网及行业部门专网的连接；</w:t>
      </w:r>
    </w:p>
    <w:p>
      <w:pPr>
        <w:pStyle w:val="5"/>
        <w:snapToGrid w:val="0"/>
        <w:spacing w:line="360" w:lineRule="auto"/>
        <w:ind w:firstLine="480"/>
        <w:rPr>
          <w:rFonts w:hint="eastAsia" w:hAnsi="宋体" w:cs="宋体"/>
        </w:rPr>
      </w:pPr>
      <w:r>
        <w:rPr>
          <w:rFonts w:hint="eastAsia" w:hAnsi="宋体" w:cs="宋体"/>
        </w:rPr>
        <w:t>（5）支持IPv6地址分配，满足业务系统IPv6要求；</w:t>
      </w:r>
    </w:p>
    <w:p>
      <w:pPr>
        <w:pStyle w:val="5"/>
        <w:snapToGrid w:val="0"/>
        <w:spacing w:line="360" w:lineRule="auto"/>
        <w:ind w:firstLine="480"/>
        <w:rPr>
          <w:rFonts w:hint="eastAsia" w:hAnsi="宋体" w:cs="宋体"/>
        </w:rPr>
      </w:pPr>
      <w:r>
        <w:rPr>
          <w:rFonts w:hint="eastAsia" w:hAnsi="宋体" w:cs="宋体"/>
        </w:rPr>
        <w:t>（6）具备边界防火墙和VPC防火墙隔离能力，分别针对不同的流量进行安全策略防护与配置；</w:t>
      </w:r>
    </w:p>
    <w:p>
      <w:pPr>
        <w:pStyle w:val="5"/>
        <w:snapToGrid w:val="0"/>
        <w:spacing w:line="360" w:lineRule="auto"/>
        <w:ind w:firstLine="480"/>
        <w:rPr>
          <w:rFonts w:hint="eastAsia" w:hAnsi="宋体" w:cs="宋体"/>
        </w:rPr>
      </w:pPr>
      <w:r>
        <w:rPr>
          <w:rFonts w:hint="eastAsia" w:hAnsi="宋体" w:cs="宋体"/>
        </w:rPr>
        <w:t>（7）具备高可用虚拟IP能力，在集群或主备场景下，云主机可绑定高可用虚拟IP，达到高可用访问效果；</w:t>
      </w:r>
    </w:p>
    <w:p>
      <w:pPr>
        <w:pStyle w:val="5"/>
        <w:snapToGrid w:val="0"/>
        <w:spacing w:line="360" w:lineRule="auto"/>
        <w:ind w:firstLine="480"/>
        <w:rPr>
          <w:rFonts w:hint="eastAsia" w:hAnsi="宋体" w:cs="宋体"/>
        </w:rPr>
      </w:pPr>
      <w:r>
        <w:rPr>
          <w:rFonts w:hint="eastAsia" w:hAnsi="宋体" w:cs="宋体"/>
        </w:rPr>
        <w:t>（8）采用双活网络架构，降低单点故障带来的稳定风险；为入云系统划分安全区域，合理制定访问规则。</w:t>
      </w:r>
    </w:p>
    <w:p>
      <w:pPr>
        <w:pStyle w:val="5"/>
        <w:snapToGrid w:val="0"/>
        <w:spacing w:line="360" w:lineRule="auto"/>
        <w:ind w:firstLine="480"/>
        <w:rPr>
          <w:rFonts w:hint="eastAsia" w:hAnsi="宋体" w:cs="宋体"/>
        </w:rPr>
      </w:pPr>
      <w:r>
        <w:rPr>
          <w:rFonts w:hint="eastAsia" w:hAnsi="宋体" w:cs="宋体"/>
        </w:rPr>
        <w:t>（9）网络系统性能要求包括但不限于如下：</w:t>
      </w:r>
    </w:p>
    <w:p>
      <w:pPr>
        <w:pStyle w:val="5"/>
        <w:snapToGrid w:val="0"/>
        <w:spacing w:line="360" w:lineRule="auto"/>
        <w:ind w:firstLine="480"/>
        <w:rPr>
          <w:rFonts w:hint="eastAsia" w:hAnsi="宋体" w:cs="宋体"/>
        </w:rPr>
      </w:pPr>
      <w:r>
        <w:rPr>
          <w:rFonts w:hint="eastAsia" w:hAnsi="宋体" w:cs="宋体"/>
        </w:rPr>
        <w:t>服务器业务带宽不低于10Gb/s；</w:t>
      </w:r>
    </w:p>
    <w:p>
      <w:pPr>
        <w:pStyle w:val="5"/>
        <w:snapToGrid w:val="0"/>
        <w:spacing w:line="360" w:lineRule="auto"/>
        <w:ind w:firstLine="480"/>
        <w:rPr>
          <w:rFonts w:hint="eastAsia" w:hAnsi="宋体" w:cs="宋体"/>
        </w:rPr>
      </w:pPr>
      <w:r>
        <w:rPr>
          <w:rFonts w:hint="eastAsia" w:hAnsi="宋体" w:cs="宋体"/>
        </w:rPr>
        <w:t>平均可用性不低于99.99%。</w:t>
      </w:r>
    </w:p>
    <w:p>
      <w:pPr>
        <w:pStyle w:val="5"/>
        <w:snapToGrid w:val="0"/>
        <w:spacing w:line="360" w:lineRule="auto"/>
        <w:ind w:firstLine="480"/>
        <w:rPr>
          <w:rFonts w:hint="eastAsia" w:hAnsi="宋体" w:cs="宋体"/>
        </w:rPr>
      </w:pPr>
      <w:r>
        <w:rPr>
          <w:rFonts w:hint="eastAsia" w:hAnsi="宋体" w:cs="宋体"/>
        </w:rPr>
        <w:t>（10）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pPr>
        <w:pStyle w:val="5"/>
        <w:snapToGrid w:val="0"/>
        <w:spacing w:line="360" w:lineRule="auto"/>
        <w:ind w:firstLine="480"/>
        <w:rPr>
          <w:rFonts w:hint="eastAsia" w:hAnsi="宋体" w:cs="宋体"/>
        </w:rPr>
      </w:pPr>
      <w:r>
        <w:rPr>
          <w:rFonts w:hint="eastAsia" w:hAnsi="宋体" w:cs="宋体"/>
        </w:rPr>
        <w:t>（11）SSL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采用通过商用密码产品认证的SSL VPN产品。</w:t>
      </w:r>
    </w:p>
    <w:p>
      <w:pPr>
        <w:pStyle w:val="5"/>
        <w:snapToGrid w:val="0"/>
        <w:spacing w:line="360" w:lineRule="auto"/>
        <w:ind w:firstLine="480"/>
        <w:rPr>
          <w:rFonts w:hint="eastAsia" w:hAnsi="宋体" w:cs="宋体"/>
        </w:rPr>
      </w:pPr>
      <w:r>
        <w:rPr>
          <w:rFonts w:hint="eastAsia" w:hAnsi="宋体" w:cs="宋体"/>
        </w:rPr>
        <w:t>（12）WAF防护服务</w:t>
      </w:r>
    </w:p>
    <w:p>
      <w:pPr>
        <w:pStyle w:val="5"/>
        <w:snapToGrid w:val="0"/>
        <w:spacing w:line="360" w:lineRule="auto"/>
        <w:ind w:firstLine="480"/>
        <w:rPr>
          <w:rFonts w:hint="eastAsia" w:hAnsi="宋体" w:cs="宋体"/>
        </w:rPr>
      </w:pPr>
      <w:r>
        <w:rPr>
          <w:rFonts w:hint="eastAsia" w:hAnsi="宋体" w:cs="宋体"/>
        </w:rPr>
        <w:t>按照采购人的具体需求，提供互联网WAF防护服务，保证用户对已知安全隐患进行防护，实时升级漏洞补丁，配置防护策略，起到前端防护作用。</w:t>
      </w:r>
    </w:p>
    <w:p>
      <w:pPr>
        <w:pStyle w:val="6"/>
        <w:ind w:firstLine="720"/>
        <w:jc w:val="left"/>
        <w:rPr>
          <w:rFonts w:hint="eastAsia" w:ascii="宋体" w:hAnsi="宋体" w:cs="宋体"/>
        </w:rPr>
      </w:pPr>
      <w:r>
        <w:rPr>
          <w:rFonts w:hint="eastAsia" w:ascii="宋体" w:hAnsi="宋体" w:cs="宋体"/>
        </w:rPr>
        <w:t>2.2</w:t>
      </w:r>
      <w:r>
        <w:rPr>
          <w:rFonts w:ascii="宋体" w:hAnsi="宋体" w:cs="宋体"/>
        </w:rPr>
        <w:t>.</w:t>
      </w:r>
      <w:r>
        <w:rPr>
          <w:rFonts w:hint="eastAsia" w:ascii="宋体" w:hAnsi="宋体" w:cs="宋体"/>
        </w:rPr>
        <w:t>4 基础软件支撑服务</w:t>
      </w:r>
    </w:p>
    <w:p>
      <w:pPr>
        <w:spacing w:line="360" w:lineRule="auto"/>
        <w:ind w:firstLine="482" w:firstLineChars="200"/>
        <w:rPr>
          <w:rFonts w:hint="eastAsia" w:ascii="宋体" w:hAnsi="宋体" w:cs="宋体"/>
          <w:b/>
          <w:bCs/>
          <w:sz w:val="24"/>
        </w:rPr>
      </w:pPr>
      <w:r>
        <w:rPr>
          <w:rFonts w:hint="eastAsia" w:ascii="宋体" w:hAnsi="宋体" w:cs="宋体"/>
          <w:b/>
          <w:bCs/>
          <w:sz w:val="24"/>
        </w:rPr>
        <w:t>1.服务内容</w:t>
      </w:r>
    </w:p>
    <w:p>
      <w:pPr>
        <w:pStyle w:val="5"/>
        <w:snapToGrid w:val="0"/>
        <w:spacing w:line="360" w:lineRule="auto"/>
        <w:ind w:firstLine="480"/>
        <w:rPr>
          <w:rFonts w:hint="eastAsia" w:hAnsi="宋体" w:cs="宋体"/>
        </w:rPr>
      </w:pPr>
      <w:r>
        <w:rPr>
          <w:rFonts w:hint="eastAsia" w:hAnsi="宋体" w:cs="宋体"/>
        </w:rPr>
        <w:t>按照采购人的有关管理规定及具体需求，提供商用操作系统（Windows）、国产商用操作系统、国产化操作系统、办公软件套餐等软件支撑服务。</w:t>
      </w:r>
    </w:p>
    <w:p>
      <w:pPr>
        <w:spacing w:line="360" w:lineRule="auto"/>
        <w:ind w:firstLine="482" w:firstLineChars="200"/>
        <w:rPr>
          <w:rFonts w:hint="eastAsia" w:ascii="宋体" w:hAnsi="宋体" w:cs="宋体"/>
          <w:b/>
          <w:bCs/>
          <w:sz w:val="24"/>
        </w:rPr>
      </w:pPr>
      <w:r>
        <w:rPr>
          <w:rFonts w:hint="eastAsia" w:ascii="宋体" w:hAnsi="宋体" w:cs="宋体"/>
          <w:b/>
          <w:bCs/>
          <w:sz w:val="24"/>
        </w:rPr>
        <w:t>2.服务标准</w:t>
      </w:r>
    </w:p>
    <w:p>
      <w:pPr>
        <w:pStyle w:val="5"/>
        <w:snapToGrid w:val="0"/>
        <w:spacing w:line="360" w:lineRule="auto"/>
        <w:ind w:firstLine="480"/>
        <w:rPr>
          <w:rFonts w:hint="eastAsia" w:hAnsi="宋体" w:cs="宋体"/>
        </w:rPr>
      </w:pPr>
      <w:r>
        <w:rPr>
          <w:rFonts w:hint="eastAsia" w:hAnsi="宋体" w:cs="宋体"/>
        </w:rPr>
        <w:t>（1）商用操作系统套餐</w:t>
      </w:r>
    </w:p>
    <w:p>
      <w:pPr>
        <w:pStyle w:val="5"/>
        <w:snapToGrid w:val="0"/>
        <w:spacing w:line="360" w:lineRule="auto"/>
        <w:ind w:firstLine="480"/>
        <w:rPr>
          <w:rFonts w:hint="eastAsia" w:hAnsi="宋体" w:cs="宋体"/>
        </w:rPr>
      </w:pPr>
      <w:r>
        <w:rPr>
          <w:rFonts w:hint="eastAsia" w:hAnsi="宋体" w:cs="宋体"/>
        </w:rPr>
        <w:t>提供主流商业操作系统服务，支持Windows Server的各种主流版本，并提供操作系统的安装部署和各种故障处理。</w:t>
      </w:r>
    </w:p>
    <w:p>
      <w:pPr>
        <w:pStyle w:val="5"/>
        <w:snapToGrid w:val="0"/>
        <w:spacing w:line="360" w:lineRule="auto"/>
        <w:ind w:firstLine="480"/>
        <w:rPr>
          <w:rFonts w:hAnsi="宋体" w:cs="宋体"/>
        </w:rPr>
      </w:pPr>
      <w:r>
        <w:rPr>
          <w:rFonts w:hint="eastAsia" w:hAnsi="宋体" w:cs="宋体"/>
        </w:rPr>
        <w:t>（2）国产商用操作系统套餐</w:t>
      </w:r>
    </w:p>
    <w:p>
      <w:pPr>
        <w:pStyle w:val="5"/>
        <w:snapToGrid w:val="0"/>
        <w:spacing w:line="360" w:lineRule="auto"/>
        <w:ind w:firstLine="480"/>
        <w:rPr>
          <w:rFonts w:hint="eastAsia" w:hAnsi="宋体" w:cs="宋体"/>
        </w:rPr>
      </w:pPr>
      <w:r>
        <w:rPr>
          <w:rFonts w:hint="eastAsia" w:hAnsi="宋体" w:cs="宋体"/>
        </w:rPr>
        <w:t>提供主流商业操作系统服务，支持国产Linux操作系统（银河麒麟/中科方德等）的各种主流版本，并提供操作系统的安装部署和各种故障处理。</w:t>
      </w:r>
    </w:p>
    <w:p>
      <w:pPr>
        <w:pStyle w:val="5"/>
        <w:snapToGrid w:val="0"/>
        <w:spacing w:line="360" w:lineRule="auto"/>
        <w:ind w:firstLine="480"/>
        <w:rPr>
          <w:rFonts w:hint="eastAsia" w:hAnsi="宋体" w:cs="宋体"/>
        </w:rPr>
      </w:pPr>
      <w:r>
        <w:rPr>
          <w:rFonts w:hint="eastAsia" w:hAnsi="宋体" w:cs="宋体"/>
        </w:rPr>
        <w:t>（3）国产化操作系统套餐</w:t>
      </w:r>
    </w:p>
    <w:p>
      <w:pPr>
        <w:pStyle w:val="5"/>
        <w:snapToGrid w:val="0"/>
        <w:spacing w:line="360" w:lineRule="auto"/>
        <w:ind w:firstLine="480"/>
        <w:rPr>
          <w:rFonts w:hint="eastAsia" w:hAnsi="宋体" w:cs="宋体"/>
        </w:rPr>
      </w:pPr>
      <w:r>
        <w:rPr>
          <w:rFonts w:hint="eastAsia" w:hAnsi="宋体" w:cs="宋体"/>
        </w:rPr>
        <w:t>提供主流商业操作系统服务，支持国产Linux操作系统（中标麒麟/统信等）的各种主流版本，并提供操作系统的安装部署和各种故障处理。</w:t>
      </w:r>
    </w:p>
    <w:p>
      <w:pPr>
        <w:pStyle w:val="5"/>
        <w:snapToGrid w:val="0"/>
        <w:spacing w:line="360" w:lineRule="auto"/>
        <w:ind w:firstLine="480"/>
        <w:rPr>
          <w:rFonts w:hint="eastAsia" w:hAnsi="宋体" w:cs="宋体"/>
        </w:rPr>
      </w:pPr>
      <w:r>
        <w:rPr>
          <w:rFonts w:hint="eastAsia" w:hAnsi="宋体" w:cs="宋体"/>
        </w:rPr>
        <w:t>（4）办公软件套餐</w:t>
      </w:r>
    </w:p>
    <w:p>
      <w:pPr>
        <w:pStyle w:val="5"/>
        <w:snapToGrid w:val="0"/>
        <w:spacing w:line="360" w:lineRule="auto"/>
        <w:ind w:firstLine="480"/>
        <w:rPr>
          <w:rFonts w:hint="eastAsia" w:hAnsi="宋体" w:cs="宋体"/>
        </w:rPr>
      </w:pPr>
      <w:r>
        <w:rPr>
          <w:rFonts w:hint="eastAsia" w:hAnsi="宋体" w:cs="宋体"/>
        </w:rPr>
        <w:t>提供WPS文档中台系统V7软件，并提供软件的各种故障处理及日常维护。</w:t>
      </w:r>
    </w:p>
    <w:p>
      <w:pPr>
        <w:pStyle w:val="5"/>
        <w:snapToGrid w:val="0"/>
        <w:spacing w:line="360" w:lineRule="auto"/>
        <w:ind w:firstLine="480"/>
        <w:rPr>
          <w:rFonts w:hint="eastAsia" w:hAnsi="宋体" w:cs="宋体"/>
        </w:rPr>
      </w:pPr>
    </w:p>
    <w:p>
      <w:pPr>
        <w:pStyle w:val="6"/>
        <w:ind w:firstLine="720"/>
        <w:jc w:val="left"/>
        <w:rPr>
          <w:rFonts w:ascii="宋体" w:hAnsi="宋体" w:cs="宋体"/>
        </w:rPr>
      </w:pPr>
      <w:r>
        <w:rPr>
          <w:rFonts w:hint="eastAsia" w:ascii="宋体" w:hAnsi="宋体" w:cs="宋体"/>
        </w:rPr>
        <w:t xml:space="preserve">2.2.5 </w:t>
      </w:r>
      <w:r>
        <w:rPr>
          <w:rFonts w:ascii="宋体" w:hAnsi="宋体" w:cs="宋体"/>
        </w:rPr>
        <w:t>安全服务</w:t>
      </w:r>
    </w:p>
    <w:p>
      <w:pPr>
        <w:spacing w:line="360" w:lineRule="auto"/>
        <w:ind w:firstLine="482" w:firstLineChars="200"/>
        <w:rPr>
          <w:rFonts w:hint="eastAsia" w:ascii="宋体" w:hAnsi="宋体" w:cs="宋体"/>
          <w:b/>
          <w:bCs/>
          <w:sz w:val="24"/>
        </w:rPr>
      </w:pPr>
      <w:r>
        <w:rPr>
          <w:rFonts w:ascii="宋体" w:hAnsi="宋体" w:cs="宋体"/>
          <w:b/>
          <w:bCs/>
          <w:sz w:val="24"/>
        </w:rPr>
        <w:t>1.</w:t>
      </w:r>
      <w:r>
        <w:rPr>
          <w:rFonts w:hint="eastAsia" w:ascii="宋体" w:hAnsi="宋体" w:cs="宋体"/>
          <w:b/>
          <w:bCs/>
          <w:sz w:val="24"/>
        </w:rPr>
        <w:t>服务内容</w:t>
      </w:r>
    </w:p>
    <w:p>
      <w:pPr>
        <w:pStyle w:val="5"/>
        <w:snapToGrid w:val="0"/>
        <w:spacing w:line="360" w:lineRule="auto"/>
        <w:ind w:firstLine="480"/>
        <w:rPr>
          <w:rFonts w:hint="eastAsia" w:hAnsi="宋体" w:cs="宋体"/>
        </w:rPr>
      </w:pPr>
      <w:r>
        <w:rPr>
          <w:rFonts w:hint="eastAsia" w:hAnsi="宋体" w:cs="宋体"/>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pPr>
        <w:pStyle w:val="5"/>
        <w:snapToGrid w:val="0"/>
        <w:spacing w:line="360" w:lineRule="auto"/>
        <w:ind w:firstLine="480"/>
        <w:rPr>
          <w:rFonts w:hint="eastAsia" w:hAnsi="宋体" w:cs="宋体"/>
        </w:rPr>
      </w:pPr>
      <w:r>
        <w:rPr>
          <w:rFonts w:hAnsi="宋体" w:cs="宋体"/>
        </w:rPr>
        <w:t>(</w:t>
      </w:r>
      <w:r>
        <w:rPr>
          <w:rFonts w:hint="eastAsia" w:hAnsi="宋体" w:cs="宋体"/>
        </w:rPr>
        <w:t>1</w:t>
      </w:r>
      <w:r>
        <w:rPr>
          <w:rFonts w:hAnsi="宋体" w:cs="宋体"/>
        </w:rPr>
        <w:t>)</w:t>
      </w:r>
      <w:r>
        <w:rPr>
          <w:rFonts w:hint="eastAsia" w:hAnsi="宋体" w:cs="宋体"/>
        </w:rPr>
        <w:t>云端抗DDOS服务</w:t>
      </w:r>
    </w:p>
    <w:p>
      <w:pPr>
        <w:pStyle w:val="5"/>
        <w:snapToGrid w:val="0"/>
        <w:spacing w:line="360" w:lineRule="auto"/>
        <w:ind w:firstLine="480"/>
        <w:rPr>
          <w:rFonts w:hint="eastAsia" w:hAnsi="宋体" w:cs="宋体"/>
        </w:rPr>
      </w:pPr>
      <w:r>
        <w:rPr>
          <w:rFonts w:hint="eastAsia" w:hAnsi="宋体" w:cs="宋体"/>
        </w:rPr>
        <w:t>按照采购人的具体需求，根据流量提供云端抗DDOS服务，为云内应用系统抵御大流量分布式拒绝服务攻击。在提供服务的过程中需做好与采购人和对应项目的应用开发厂商的协调沟通工作。</w:t>
      </w:r>
    </w:p>
    <w:p>
      <w:pPr>
        <w:pStyle w:val="5"/>
        <w:snapToGrid w:val="0"/>
        <w:spacing w:line="360" w:lineRule="auto"/>
        <w:ind w:firstLine="480"/>
        <w:rPr>
          <w:rFonts w:hint="eastAsia" w:hAnsi="宋体" w:cs="宋体"/>
        </w:rPr>
      </w:pPr>
      <w:r>
        <w:rPr>
          <w:rFonts w:hAnsi="宋体" w:cs="宋体"/>
        </w:rPr>
        <w:t>(</w:t>
      </w:r>
      <w:r>
        <w:rPr>
          <w:rFonts w:hint="eastAsia" w:hAnsi="宋体" w:cs="宋体"/>
        </w:rPr>
        <w:t>2</w:t>
      </w:r>
      <w:r>
        <w:rPr>
          <w:rFonts w:hAnsi="宋体" w:cs="宋体"/>
        </w:rPr>
        <w:t>)</w:t>
      </w:r>
      <w:r>
        <w:rPr>
          <w:rFonts w:hint="eastAsia" w:hAnsi="宋体" w:cs="宋体"/>
        </w:rPr>
        <w:t>云端APT防护服务</w:t>
      </w:r>
    </w:p>
    <w:p>
      <w:pPr>
        <w:pStyle w:val="5"/>
        <w:snapToGrid w:val="0"/>
        <w:spacing w:line="360" w:lineRule="auto"/>
        <w:ind w:firstLine="480"/>
        <w:rPr>
          <w:rFonts w:hint="eastAsia" w:hAnsi="宋体" w:cs="宋体"/>
        </w:rPr>
      </w:pPr>
      <w:r>
        <w:rPr>
          <w:rFonts w:hint="eastAsia" w:hAnsi="宋体" w:cs="宋体"/>
        </w:rPr>
        <w:t>按照采购人的具体需求，提供云端APT防护服务，对未知攻击威胁进行检测和防护，发现隐蔽威胁、木马后门等异常威胁。通过APT防护服务，实现恶意代码检测、恶意软件检测及攻击溯源。</w:t>
      </w:r>
    </w:p>
    <w:p>
      <w:pPr>
        <w:pStyle w:val="5"/>
        <w:snapToGrid w:val="0"/>
        <w:spacing w:line="360" w:lineRule="auto"/>
        <w:ind w:firstLine="480"/>
        <w:rPr>
          <w:rFonts w:hint="eastAsia" w:hAnsi="宋体" w:cs="宋体"/>
        </w:rPr>
      </w:pPr>
      <w:r>
        <w:rPr>
          <w:rFonts w:hAnsi="宋体" w:cs="宋体"/>
        </w:rPr>
        <w:t>(</w:t>
      </w:r>
      <w:r>
        <w:rPr>
          <w:rFonts w:hint="eastAsia" w:hAnsi="宋体" w:cs="宋体"/>
        </w:rPr>
        <w:t>3</w:t>
      </w:r>
      <w:r>
        <w:rPr>
          <w:rFonts w:hAnsi="宋体" w:cs="宋体"/>
        </w:rPr>
        <w:t>)</w:t>
      </w:r>
      <w:r>
        <w:rPr>
          <w:rFonts w:hint="eastAsia" w:hAnsi="宋体" w:cs="宋体"/>
        </w:rPr>
        <w:t>主机杀毒服务</w:t>
      </w:r>
    </w:p>
    <w:p>
      <w:pPr>
        <w:pStyle w:val="5"/>
        <w:snapToGrid w:val="0"/>
        <w:spacing w:line="360" w:lineRule="auto"/>
        <w:ind w:firstLine="480"/>
        <w:rPr>
          <w:rFonts w:hint="eastAsia" w:hAnsi="宋体" w:cs="宋体"/>
        </w:rPr>
      </w:pPr>
      <w:r>
        <w:rPr>
          <w:rFonts w:hint="eastAsia" w:hAnsi="宋体" w:cs="宋体"/>
        </w:rPr>
        <w:t>提供主机杀毒服务，对云主机进行定期的病毒查杀，实施杀毒软件集中控制。</w:t>
      </w:r>
    </w:p>
    <w:p>
      <w:pPr>
        <w:spacing w:line="360" w:lineRule="auto"/>
        <w:ind w:firstLine="482" w:firstLineChars="200"/>
        <w:rPr>
          <w:rFonts w:hint="eastAsia" w:ascii="宋体" w:hAnsi="宋体" w:cs="宋体"/>
          <w:b/>
          <w:bCs/>
          <w:sz w:val="24"/>
        </w:rPr>
      </w:pPr>
      <w:r>
        <w:rPr>
          <w:rFonts w:ascii="宋体" w:hAnsi="宋体" w:cs="宋体"/>
          <w:b/>
          <w:bCs/>
          <w:sz w:val="24"/>
        </w:rPr>
        <w:t>2.</w:t>
      </w:r>
      <w:r>
        <w:rPr>
          <w:rFonts w:hint="eastAsia" w:ascii="宋体" w:hAnsi="宋体" w:cs="宋体"/>
          <w:b/>
          <w:bCs/>
          <w:sz w:val="24"/>
        </w:rPr>
        <w:t>服务标准</w:t>
      </w:r>
    </w:p>
    <w:p>
      <w:pPr>
        <w:pStyle w:val="5"/>
        <w:snapToGrid w:val="0"/>
        <w:spacing w:line="360" w:lineRule="auto"/>
        <w:ind w:firstLine="480"/>
        <w:rPr>
          <w:rFonts w:hint="eastAsia" w:hAnsi="宋体" w:cs="宋体"/>
        </w:rPr>
      </w:pPr>
      <w:r>
        <w:rPr>
          <w:rFonts w:hAnsi="宋体" w:cs="宋体"/>
        </w:rPr>
        <w:t>(1)</w:t>
      </w:r>
      <w:r>
        <w:rPr>
          <w:rFonts w:hint="eastAsia" w:hAnsi="宋体" w:cs="宋体"/>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pStyle w:val="5"/>
        <w:snapToGrid w:val="0"/>
        <w:spacing w:line="360" w:lineRule="auto"/>
        <w:ind w:firstLine="480"/>
        <w:rPr>
          <w:rFonts w:hint="eastAsia" w:hAnsi="宋体" w:cs="宋体"/>
        </w:rPr>
      </w:pPr>
      <w:r>
        <w:rPr>
          <w:rFonts w:hAnsi="宋体" w:cs="宋体"/>
        </w:rPr>
        <w:t>(2)</w:t>
      </w:r>
      <w:r>
        <w:rPr>
          <w:rFonts w:hint="eastAsia" w:hAnsi="宋体" w:cs="宋体"/>
        </w:rPr>
        <w:t>投标人需利用监控系统或人工对机房环境、硬件设备及应用系统的运行情况进行7*24小时的不间断巡检监控，及时发现安全隐患，通知相关人员及时处理，并形成监控报告。每周反馈日志审计和数据库审计报告，进行总结分析。</w:t>
      </w:r>
    </w:p>
    <w:p>
      <w:pPr>
        <w:pStyle w:val="5"/>
        <w:snapToGrid w:val="0"/>
        <w:spacing w:line="360" w:lineRule="auto"/>
        <w:ind w:firstLine="480"/>
        <w:rPr>
          <w:rFonts w:hint="eastAsia" w:hAnsi="宋体" w:cs="宋体"/>
        </w:rPr>
      </w:pPr>
      <w:r>
        <w:rPr>
          <w:rFonts w:hAnsi="宋体" w:cs="宋体"/>
        </w:rPr>
        <w:t>(3)</w:t>
      </w:r>
      <w:r>
        <w:rPr>
          <w:rFonts w:hint="eastAsia" w:hAnsi="宋体" w:cs="宋体"/>
        </w:rPr>
        <w:t>投标人需纳入行业监管部门网络安全保障整体工作体系，在涉及重保、安全事件、威胁情报等方面，配合安全服务商开展研判、处置、分析等工作。</w:t>
      </w:r>
    </w:p>
    <w:p>
      <w:pPr>
        <w:pStyle w:val="5"/>
        <w:snapToGrid w:val="0"/>
        <w:spacing w:line="360" w:lineRule="auto"/>
        <w:ind w:firstLine="480"/>
        <w:rPr>
          <w:rFonts w:hint="eastAsia" w:hAnsi="宋体" w:cs="宋体"/>
        </w:rPr>
      </w:pPr>
      <w:r>
        <w:rPr>
          <w:rFonts w:hAnsi="宋体" w:cs="宋体"/>
        </w:rPr>
        <w:t>(4)</w:t>
      </w:r>
      <w:r>
        <w:rPr>
          <w:rFonts w:hint="eastAsia" w:hAnsi="宋体" w:cs="宋体"/>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pPr>
        <w:pStyle w:val="5"/>
        <w:snapToGrid w:val="0"/>
        <w:spacing w:line="360" w:lineRule="auto"/>
        <w:ind w:firstLine="480"/>
        <w:rPr>
          <w:rFonts w:hint="eastAsia" w:hAnsi="宋体" w:cs="宋体"/>
        </w:rPr>
      </w:pPr>
      <w:r>
        <w:rPr>
          <w:rFonts w:hAnsi="宋体" w:cs="宋体"/>
        </w:rPr>
        <w:t>(5)</w:t>
      </w:r>
      <w:r>
        <w:rPr>
          <w:rFonts w:hint="eastAsia" w:hAnsi="宋体" w:cs="宋体"/>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39786-2021中相应等级规定；保障其上的租户安全、容器安全、云主机安全、业务安全和数据安全；</w:t>
      </w:r>
    </w:p>
    <w:p>
      <w:pPr>
        <w:pStyle w:val="5"/>
        <w:snapToGrid w:val="0"/>
        <w:spacing w:line="360" w:lineRule="auto"/>
        <w:ind w:firstLine="480"/>
        <w:rPr>
          <w:rFonts w:hint="eastAsia" w:hAnsi="宋体" w:cs="宋体"/>
        </w:rPr>
      </w:pPr>
      <w:r>
        <w:rPr>
          <w:rFonts w:hAnsi="宋体" w:cs="宋体"/>
        </w:rPr>
        <w:t>(6)</w:t>
      </w:r>
      <w:r>
        <w:rPr>
          <w:rFonts w:hint="eastAsia" w:hAnsi="宋体" w:cs="宋体"/>
        </w:rPr>
        <w:t>投标人应坚持制度和技术并重，建立健全网络和数据安全管理制度，落实网络和数据安全管理要求。采取相应技术措施，保障网络免受干扰、破坏或者未经授权的访问，防止数据泄露或者被窃取、篡改、破坏。</w:t>
      </w:r>
    </w:p>
    <w:p>
      <w:pPr>
        <w:pStyle w:val="5"/>
        <w:snapToGrid w:val="0"/>
        <w:spacing w:line="360" w:lineRule="auto"/>
        <w:ind w:firstLine="480"/>
        <w:rPr>
          <w:rFonts w:hint="eastAsia" w:hAnsi="宋体" w:cs="宋体"/>
        </w:rPr>
      </w:pPr>
      <w:r>
        <w:rPr>
          <w:rFonts w:hAnsi="宋体" w:cs="宋体"/>
        </w:rPr>
        <w:t>(7)</w:t>
      </w:r>
      <w:r>
        <w:rPr>
          <w:rFonts w:hint="eastAsia" w:hAnsi="宋体" w:cs="宋体"/>
        </w:rPr>
        <w:t>定期开展数据安全风险评估，发现数据安全隐患风险时，应当及时整改加固，采取必要的安全保护措施，防范数据安全风险。</w:t>
      </w:r>
    </w:p>
    <w:p>
      <w:pPr>
        <w:pStyle w:val="5"/>
        <w:snapToGrid w:val="0"/>
        <w:spacing w:line="360" w:lineRule="auto"/>
        <w:ind w:firstLine="480"/>
        <w:rPr>
          <w:rFonts w:hint="eastAsia" w:hAnsi="宋体" w:cs="宋体"/>
        </w:rPr>
      </w:pPr>
      <w:r>
        <w:rPr>
          <w:rFonts w:hAnsi="宋体" w:cs="宋体"/>
        </w:rPr>
        <w:t>(8)</w:t>
      </w:r>
      <w:r>
        <w:rPr>
          <w:rFonts w:hint="eastAsia" w:hAnsi="宋体" w:cs="宋体"/>
        </w:rPr>
        <w:t>投标人应明确接触网络和信息系统、数据时的申请及审批流程，做好实名登记、权限控制、保密协议签署等管理。</w:t>
      </w:r>
    </w:p>
    <w:p>
      <w:pPr>
        <w:pStyle w:val="5"/>
        <w:snapToGrid w:val="0"/>
        <w:spacing w:line="360" w:lineRule="auto"/>
        <w:ind w:firstLine="480"/>
        <w:rPr>
          <w:rFonts w:hint="eastAsia" w:hAnsi="宋体" w:cs="宋体"/>
        </w:rPr>
      </w:pPr>
      <w:r>
        <w:rPr>
          <w:rFonts w:hAnsi="宋体" w:cs="宋体"/>
        </w:rPr>
        <w:t>(9)</w:t>
      </w:r>
      <w:r>
        <w:rPr>
          <w:rFonts w:hint="eastAsia" w:hAnsi="宋体" w:cs="宋体"/>
        </w:rPr>
        <w:t>在服务期内，承载政务云平台的软硬件应在原厂维保期限内。</w:t>
      </w:r>
    </w:p>
    <w:p>
      <w:pPr>
        <w:pStyle w:val="5"/>
        <w:snapToGrid w:val="0"/>
        <w:ind w:firstLine="482"/>
        <w:rPr>
          <w:rFonts w:hint="eastAsia" w:hAnsi="宋体" w:cs="宋体"/>
          <w:b/>
        </w:rPr>
      </w:pPr>
    </w:p>
    <w:p>
      <w:pPr>
        <w:pStyle w:val="6"/>
        <w:ind w:firstLine="720"/>
        <w:jc w:val="left"/>
        <w:rPr>
          <w:rFonts w:hint="eastAsia" w:ascii="宋体" w:hAnsi="宋体" w:cs="宋体"/>
        </w:rPr>
      </w:pPr>
      <w:r>
        <w:rPr>
          <w:rFonts w:ascii="宋体" w:hAnsi="宋体" w:cs="宋体"/>
        </w:rPr>
        <w:t xml:space="preserve">2.2.6 </w:t>
      </w:r>
      <w:r>
        <w:rPr>
          <w:rFonts w:hint="eastAsia" w:ascii="宋体" w:hAnsi="宋体" w:cs="宋体"/>
        </w:rPr>
        <w:t>运维服务</w:t>
      </w:r>
    </w:p>
    <w:p>
      <w:pPr>
        <w:spacing w:line="360" w:lineRule="auto"/>
        <w:ind w:firstLine="482" w:firstLineChars="200"/>
        <w:rPr>
          <w:rFonts w:hint="eastAsia" w:ascii="宋体" w:hAnsi="宋体" w:cs="宋体"/>
          <w:b/>
          <w:bCs/>
          <w:sz w:val="24"/>
        </w:rPr>
      </w:pPr>
      <w:r>
        <w:rPr>
          <w:rFonts w:ascii="宋体" w:hAnsi="宋体" w:cs="宋体"/>
          <w:b/>
          <w:bCs/>
          <w:sz w:val="24"/>
        </w:rPr>
        <w:t>1.</w:t>
      </w:r>
      <w:r>
        <w:rPr>
          <w:rFonts w:hint="eastAsia" w:ascii="宋体" w:hAnsi="宋体" w:cs="宋体"/>
          <w:b/>
          <w:bCs/>
          <w:sz w:val="24"/>
        </w:rPr>
        <w:t>服务内容</w:t>
      </w:r>
    </w:p>
    <w:p>
      <w:pPr>
        <w:pStyle w:val="5"/>
        <w:snapToGrid w:val="0"/>
        <w:spacing w:line="360" w:lineRule="auto"/>
        <w:ind w:firstLine="480"/>
        <w:rPr>
          <w:rFonts w:hint="eastAsia" w:hAnsi="宋体" w:cs="宋体"/>
        </w:rPr>
      </w:pPr>
      <w:r>
        <w:rPr>
          <w:rFonts w:hAnsi="宋体" w:cs="宋体"/>
        </w:rPr>
        <w:t>(1)</w:t>
      </w:r>
      <w:r>
        <w:rPr>
          <w:rFonts w:hint="eastAsia" w:hAnsi="宋体" w:cs="宋体"/>
        </w:rPr>
        <w:t>负责机房环境资源、云平台硬件资产、虚拟化资产的管理工作；</w:t>
      </w:r>
    </w:p>
    <w:p>
      <w:pPr>
        <w:pStyle w:val="5"/>
        <w:snapToGrid w:val="0"/>
        <w:spacing w:line="360" w:lineRule="auto"/>
        <w:ind w:firstLine="480"/>
        <w:rPr>
          <w:rFonts w:hint="eastAsia" w:hAnsi="宋体" w:cs="宋体"/>
        </w:rPr>
      </w:pPr>
      <w:r>
        <w:rPr>
          <w:rFonts w:hAnsi="宋体" w:cs="宋体"/>
        </w:rPr>
        <w:t>(2)</w:t>
      </w:r>
      <w:r>
        <w:rPr>
          <w:rFonts w:hint="eastAsia" w:hAnsi="宋体" w:cs="宋体"/>
        </w:rPr>
        <w:t>信息系统入云、上线、变更、退出等各阶段的备案与信息变更等工作；</w:t>
      </w:r>
    </w:p>
    <w:p>
      <w:pPr>
        <w:pStyle w:val="5"/>
        <w:snapToGrid w:val="0"/>
        <w:spacing w:line="360" w:lineRule="auto"/>
        <w:ind w:firstLine="480"/>
        <w:rPr>
          <w:rFonts w:hint="eastAsia" w:hAnsi="宋体" w:cs="宋体"/>
        </w:rPr>
      </w:pPr>
      <w:r>
        <w:rPr>
          <w:rFonts w:hAnsi="宋体" w:cs="宋体"/>
        </w:rPr>
        <w:t>(3)</w:t>
      </w:r>
      <w:r>
        <w:rPr>
          <w:rFonts w:hint="eastAsia" w:hAnsi="宋体" w:cs="宋体"/>
        </w:rPr>
        <w:t>执行云平台变更申请、审批流程；</w:t>
      </w:r>
    </w:p>
    <w:p>
      <w:pPr>
        <w:pStyle w:val="5"/>
        <w:snapToGrid w:val="0"/>
        <w:spacing w:line="360" w:lineRule="auto"/>
        <w:ind w:firstLine="480"/>
        <w:rPr>
          <w:rFonts w:hint="eastAsia" w:hAnsi="宋体" w:cs="宋体"/>
        </w:rPr>
      </w:pPr>
      <w:r>
        <w:rPr>
          <w:rFonts w:hAnsi="宋体" w:cs="宋体"/>
        </w:rPr>
        <w:t>(4)</w:t>
      </w:r>
      <w:r>
        <w:rPr>
          <w:rFonts w:hint="eastAsia" w:hAnsi="宋体" w:cs="宋体"/>
        </w:rPr>
        <w:t>云平台网络资源管理，针对内部地址使用情况、云平台专线接入情况、政务外网资源使用情况等做好统计工作；</w:t>
      </w:r>
    </w:p>
    <w:p>
      <w:pPr>
        <w:pStyle w:val="5"/>
        <w:snapToGrid w:val="0"/>
        <w:spacing w:line="360" w:lineRule="auto"/>
        <w:ind w:firstLine="480"/>
        <w:rPr>
          <w:rFonts w:hint="eastAsia" w:hAnsi="宋体" w:cs="宋体"/>
        </w:rPr>
      </w:pPr>
      <w:r>
        <w:rPr>
          <w:rFonts w:hAnsi="宋体" w:cs="宋体"/>
        </w:rPr>
        <w:t>(5)</w:t>
      </w:r>
      <w:r>
        <w:rPr>
          <w:rFonts w:hint="eastAsia" w:hAnsi="宋体" w:cs="宋体"/>
        </w:rPr>
        <w:t>服务期内，投标人须配备运维团队，提供可靠的售后服务保障。投标人针对采购人要求的云平台运维服务相关内容，需指定专业技术能力较强的工程师，根据采购人要求配合开展相关维护服务。</w:t>
      </w:r>
    </w:p>
    <w:p>
      <w:pPr>
        <w:spacing w:line="360" w:lineRule="auto"/>
        <w:ind w:firstLine="482" w:firstLineChars="200"/>
        <w:rPr>
          <w:rFonts w:hint="eastAsia" w:ascii="宋体" w:hAnsi="宋体" w:cs="宋体"/>
          <w:b/>
          <w:bCs/>
          <w:sz w:val="24"/>
        </w:rPr>
      </w:pPr>
      <w:r>
        <w:rPr>
          <w:rFonts w:ascii="宋体" w:hAnsi="宋体" w:cs="宋体"/>
          <w:b/>
          <w:bCs/>
          <w:sz w:val="24"/>
        </w:rPr>
        <w:t>2</w:t>
      </w:r>
      <w:r>
        <w:rPr>
          <w:rFonts w:hint="eastAsia" w:ascii="宋体" w:hAnsi="宋体" w:cs="宋体"/>
          <w:b/>
          <w:bCs/>
          <w:sz w:val="24"/>
        </w:rPr>
        <w:t>.服务标准</w:t>
      </w:r>
    </w:p>
    <w:p>
      <w:pPr>
        <w:pStyle w:val="5"/>
        <w:snapToGrid w:val="0"/>
        <w:spacing w:line="360" w:lineRule="auto"/>
        <w:ind w:firstLine="480"/>
        <w:rPr>
          <w:rFonts w:hint="eastAsia" w:hAnsi="宋体" w:cs="宋体"/>
        </w:rPr>
      </w:pPr>
      <w:r>
        <w:rPr>
          <w:rFonts w:hAnsi="宋体" w:cs="宋体"/>
        </w:rPr>
        <w:t>(1)</w:t>
      </w:r>
      <w:r>
        <w:rPr>
          <w:rFonts w:hint="eastAsia" w:hAnsi="宋体" w:cs="宋体"/>
        </w:rPr>
        <w:t>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4个小时之内使系统恢复正常，故障处理完毕后提供相关系统宕机报告。</w:t>
      </w:r>
    </w:p>
    <w:p>
      <w:pPr>
        <w:pStyle w:val="5"/>
        <w:snapToGrid w:val="0"/>
        <w:spacing w:line="360" w:lineRule="auto"/>
        <w:ind w:firstLine="480"/>
        <w:rPr>
          <w:rFonts w:hint="eastAsia" w:hAnsi="宋体" w:cs="宋体"/>
        </w:rPr>
      </w:pPr>
      <w:r>
        <w:rPr>
          <w:rFonts w:hAnsi="宋体" w:cs="宋体"/>
        </w:rPr>
        <w:t>(2)</w:t>
      </w:r>
      <w:r>
        <w:rPr>
          <w:rFonts w:hint="eastAsia" w:hAnsi="宋体" w:cs="宋体"/>
        </w:rPr>
        <w:t>为保障业务高峰期内系统平稳运行，缓解系统高峰期内因业务发生量增大而带来系统压力风险，要求投标人根据业务周期性特点，加大运维保障力度，保证在业务高峰期内系统平稳运行。</w:t>
      </w:r>
    </w:p>
    <w:p>
      <w:pPr>
        <w:pStyle w:val="5"/>
        <w:snapToGrid w:val="0"/>
        <w:spacing w:line="360" w:lineRule="auto"/>
        <w:ind w:firstLine="480"/>
        <w:rPr>
          <w:rFonts w:hint="eastAsia" w:hAnsi="宋体" w:cs="宋体"/>
        </w:rPr>
      </w:pPr>
      <w:r>
        <w:rPr>
          <w:rFonts w:hAnsi="宋体" w:cs="宋体"/>
        </w:rPr>
        <w:t>(3)</w:t>
      </w:r>
      <w:r>
        <w:rPr>
          <w:rFonts w:hint="eastAsia" w:hAnsi="宋体" w:cs="宋体"/>
        </w:rPr>
        <w:t>在春节、两会、五一、国庆、党代会、重大体育赛事等重要重大节日及重要活动期间提供重点保障值守服务，提供7*24小时安全重点保障防护服务。重点保障时期的重要信息系统云主机资源调整时间不超过2小时，针对重点保障时期的重要信息系统重要云主机，投标人应按采购人要求进行实时监控，超过预警阈值时主动上调云资源，并第一时间通知采购人进行相应操作，确保系统平稳运行。</w:t>
      </w:r>
    </w:p>
    <w:p>
      <w:pPr>
        <w:pStyle w:val="5"/>
        <w:snapToGrid w:val="0"/>
        <w:spacing w:line="360" w:lineRule="auto"/>
        <w:ind w:firstLine="480"/>
        <w:rPr>
          <w:rFonts w:hint="eastAsia" w:hAnsi="宋体" w:cs="宋体"/>
        </w:rPr>
      </w:pPr>
      <w:r>
        <w:rPr>
          <w:rFonts w:hint="eastAsia" w:hAnsi="宋体" w:cs="宋体"/>
        </w:rPr>
        <w:t>（4）按照国家、北京市相关规定和信息安全技术标准及规范要求, 落实安全保障措施, 通过信息安全测评机构的测评和政务云安全审查 。</w:t>
      </w:r>
    </w:p>
    <w:p>
      <w:pPr>
        <w:pStyle w:val="5"/>
        <w:snapToGrid w:val="0"/>
        <w:spacing w:line="360" w:lineRule="auto"/>
        <w:ind w:firstLine="480"/>
        <w:rPr>
          <w:rFonts w:hint="eastAsia" w:hAnsi="宋体" w:cs="宋体"/>
        </w:rPr>
      </w:pPr>
      <w:r>
        <w:rPr>
          <w:rFonts w:hint="eastAsia" w:hAnsi="宋体" w:cs="宋体"/>
        </w:rPr>
        <w:t>（5）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pPr>
        <w:pStyle w:val="5"/>
        <w:snapToGrid w:val="0"/>
        <w:spacing w:line="360" w:lineRule="auto"/>
        <w:ind w:firstLine="480"/>
        <w:rPr>
          <w:rFonts w:hint="eastAsia" w:hAnsi="宋体" w:cs="宋体"/>
        </w:rPr>
      </w:pPr>
      <w:r>
        <w:rPr>
          <w:rFonts w:hint="eastAsia" w:hAnsi="宋体" w:cs="宋体"/>
        </w:rPr>
        <w:t>（6）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pPr>
        <w:pStyle w:val="5"/>
        <w:snapToGrid w:val="0"/>
        <w:spacing w:line="360" w:lineRule="auto"/>
        <w:ind w:firstLine="480"/>
        <w:rPr>
          <w:rFonts w:hint="eastAsia" w:hAnsi="宋体" w:cs="宋体"/>
        </w:rPr>
      </w:pPr>
      <w:r>
        <w:rPr>
          <w:rFonts w:hint="eastAsia" w:hAnsi="宋体" w:cs="宋体"/>
        </w:rPr>
        <w:t>（7）投标人应保障政务云规范运行。入云系统应开展网络安全测评及备案。应对数据进行分类分级管理，根据数据分级保护要求采取相应级别的安全防护措施；应按相关要求对重要数据进行异地备份。</w:t>
      </w:r>
    </w:p>
    <w:p>
      <w:pPr>
        <w:pStyle w:val="5"/>
        <w:snapToGrid w:val="0"/>
        <w:spacing w:line="360" w:lineRule="auto"/>
        <w:ind w:firstLine="480"/>
        <w:rPr>
          <w:rFonts w:hint="eastAsia" w:hAnsi="宋体" w:cs="宋体"/>
        </w:rPr>
      </w:pPr>
      <w:r>
        <w:rPr>
          <w:rFonts w:hint="eastAsia" w:hAnsi="宋体" w:cs="宋体"/>
        </w:rPr>
        <w:t>（8）除不可抗力或计划内维护作业造成的政务云服务中断外,政务云实行24小时不间断运行。</w:t>
      </w:r>
    </w:p>
    <w:p>
      <w:pPr>
        <w:pStyle w:val="5"/>
        <w:snapToGrid w:val="0"/>
        <w:ind w:firstLine="482"/>
        <w:rPr>
          <w:rFonts w:hint="eastAsia" w:hAnsi="宋体" w:cs="宋体"/>
          <w:b/>
        </w:rPr>
      </w:pPr>
    </w:p>
    <w:p>
      <w:pPr>
        <w:pStyle w:val="6"/>
        <w:ind w:firstLine="720"/>
        <w:jc w:val="left"/>
        <w:rPr>
          <w:rFonts w:hint="eastAsia" w:ascii="宋体" w:hAnsi="宋体" w:cs="宋体"/>
        </w:rPr>
      </w:pPr>
      <w:r>
        <w:rPr>
          <w:rFonts w:hint="eastAsia" w:ascii="宋体" w:hAnsi="宋体" w:cs="宋体"/>
        </w:rPr>
        <w:t>2.2.7 迁移服务</w:t>
      </w:r>
    </w:p>
    <w:p>
      <w:pPr>
        <w:spacing w:line="360" w:lineRule="auto"/>
        <w:ind w:firstLine="482" w:firstLineChars="200"/>
        <w:rPr>
          <w:rFonts w:hint="eastAsia" w:ascii="宋体" w:hAnsi="宋体" w:cs="宋体"/>
          <w:b/>
          <w:bCs/>
          <w:sz w:val="24"/>
        </w:rPr>
      </w:pPr>
      <w:r>
        <w:rPr>
          <w:rFonts w:hint="eastAsia" w:ascii="宋体" w:hAnsi="宋体" w:cs="宋体"/>
          <w:b/>
          <w:bCs/>
          <w:sz w:val="24"/>
        </w:rPr>
        <w:t>1.服务内容</w:t>
      </w:r>
    </w:p>
    <w:p>
      <w:pPr>
        <w:pStyle w:val="5"/>
        <w:snapToGrid w:val="0"/>
        <w:spacing w:line="360" w:lineRule="auto"/>
        <w:ind w:firstLine="480"/>
        <w:rPr>
          <w:rFonts w:hint="eastAsia" w:hAnsi="宋体" w:cs="宋体"/>
        </w:rPr>
      </w:pPr>
      <w:r>
        <w:rPr>
          <w:rFonts w:hint="eastAsia" w:hAnsi="宋体" w:cs="宋体"/>
        </w:rPr>
        <w:t>投标人需提供整体的业务上云迁移服务，应支持X86云主机迁移、单机数据库迁移、高可用数据库迁移等迁移场景。负责需求调研、架构规划设计、应用迁移部署等工作。</w:t>
      </w:r>
    </w:p>
    <w:p>
      <w:pPr>
        <w:spacing w:line="360" w:lineRule="auto"/>
        <w:ind w:firstLine="482" w:firstLineChars="200"/>
        <w:rPr>
          <w:rFonts w:hint="eastAsia" w:ascii="宋体" w:hAnsi="宋体" w:cs="宋体"/>
          <w:bCs/>
          <w:color w:val="000000"/>
          <w:sz w:val="24"/>
          <w:lang w:bidi="ar"/>
        </w:rPr>
      </w:pPr>
      <w:r>
        <w:rPr>
          <w:rFonts w:hint="eastAsia" w:ascii="宋体" w:hAnsi="宋体" w:cs="宋体"/>
          <w:b/>
          <w:bCs/>
          <w:sz w:val="24"/>
        </w:rPr>
        <w:t>2.服务标准</w:t>
      </w:r>
    </w:p>
    <w:p>
      <w:pPr>
        <w:pStyle w:val="5"/>
        <w:snapToGrid w:val="0"/>
        <w:spacing w:line="360" w:lineRule="auto"/>
        <w:ind w:firstLine="480"/>
        <w:rPr>
          <w:rFonts w:hint="eastAsia" w:hAnsi="宋体" w:cs="宋体"/>
        </w:rPr>
      </w:pPr>
      <w:r>
        <w:rPr>
          <w:rFonts w:hint="eastAsia" w:hAnsi="宋体" w:cs="宋体"/>
        </w:rPr>
        <w:t>本项目涉及的业务系统为采购人在用的生产系统，目前在政务云上平稳运行，因此保障业务连续性是重要的保障需求。迁移服务具体要求如下：</w:t>
      </w:r>
    </w:p>
    <w:p>
      <w:pPr>
        <w:pStyle w:val="5"/>
        <w:snapToGrid w:val="0"/>
        <w:spacing w:line="360" w:lineRule="auto"/>
        <w:ind w:firstLine="480"/>
        <w:rPr>
          <w:rFonts w:hint="eastAsia" w:hAnsi="宋体" w:cs="宋体"/>
        </w:rPr>
      </w:pPr>
      <w:r>
        <w:rPr>
          <w:rFonts w:hint="eastAsia" w:hAnsi="宋体" w:cs="宋体"/>
        </w:rPr>
        <w:t>（1）投标人需编制业务延续性（迁移）服务方案。</w:t>
      </w:r>
    </w:p>
    <w:p>
      <w:pPr>
        <w:pStyle w:val="5"/>
        <w:snapToGrid w:val="0"/>
        <w:spacing w:line="360" w:lineRule="auto"/>
        <w:ind w:firstLine="480"/>
        <w:rPr>
          <w:rFonts w:hint="eastAsia" w:hAnsi="宋体" w:cs="宋体"/>
        </w:rPr>
      </w:pPr>
      <w:r>
        <w:rPr>
          <w:rFonts w:hint="eastAsia" w:hAnsi="宋体" w:cs="宋体"/>
        </w:rPr>
        <w:t>（2）本项目如涉及系统迁移，在延续性服务方案中需提供确实可行的迁移部署服务子方案，迁移部署服务子方案应包括（但不限于）迁移部署流程、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pPr>
        <w:pStyle w:val="5"/>
        <w:snapToGrid w:val="0"/>
        <w:spacing w:line="360" w:lineRule="auto"/>
        <w:ind w:firstLine="480"/>
        <w:rPr>
          <w:rStyle w:val="9"/>
          <w:rFonts w:ascii="Times New Roman"/>
        </w:rPr>
      </w:pPr>
      <w:r>
        <w:rPr>
          <w:rFonts w:hint="eastAsia" w:hAnsi="宋体" w:cs="宋体"/>
        </w:rPr>
        <w:t>（3）本项目如涉及系</w:t>
      </w:r>
      <w:r>
        <w:rPr>
          <w:rFonts w:hint="eastAsia" w:hAnsi="宋体" w:cs="宋体"/>
          <w:highlight w:val="none"/>
        </w:rPr>
        <w:t>统迁移，为保障业务系统的连续性，投标人应承诺自中标之日起，积极与原服务商对接，在5个工作日内，完成系统迁</w:t>
      </w:r>
      <w:r>
        <w:rPr>
          <w:rFonts w:hint="eastAsia" w:hAnsi="宋体" w:cs="宋体"/>
        </w:rPr>
        <w:t>移平滑过渡，且因此产生的各项费用（包括但不限于测试阶段的云资源费用，系统开发商对业务系统的部署、调试费用等），应包含在投标人的报价中，提供“承诺函”并加盖投标人公章。</w:t>
      </w:r>
    </w:p>
    <w:p>
      <w:pPr>
        <w:pStyle w:val="5"/>
        <w:snapToGrid w:val="0"/>
        <w:spacing w:line="360" w:lineRule="auto"/>
        <w:ind w:firstLine="480"/>
        <w:rPr>
          <w:rFonts w:hint="eastAsia" w:hAnsi="宋体" w:cs="宋体"/>
        </w:rPr>
      </w:pPr>
      <w:r>
        <w:rPr>
          <w:rFonts w:hint="eastAsia"/>
          <w:lang w:eastAsia="zh-CN"/>
        </w:rPr>
        <w:t>（</w:t>
      </w:r>
      <w:r>
        <w:rPr>
          <w:rFonts w:hint="eastAsia"/>
          <w:lang w:val="en-US" w:eastAsia="zh-CN"/>
        </w:rPr>
        <w:t>4</w:t>
      </w:r>
      <w:r>
        <w:rPr>
          <w:rFonts w:hint="eastAsia"/>
          <w:lang w:eastAsia="zh-CN"/>
        </w:rPr>
        <w:t>）</w:t>
      </w:r>
      <w:r>
        <w:rPr>
          <w:rFonts w:hint="eastAsia" w:ascii="宋体" w:hAnsi="宋体" w:cs="Calibri"/>
          <w:kern w:val="0"/>
          <w:sz w:val="24"/>
        </w:rPr>
        <w:t>投标人根据采购人需求完成系统迁移工作，并且不能改变和影响原有系统的功能、技术状态以及采购人的使用习惯。未按时完成系统迁移工作的，采购人有权解除合同并有权要求投标人按合同首付款双倍支付违约金。</w:t>
      </w:r>
    </w:p>
    <w:p>
      <w:pPr>
        <w:pStyle w:val="6"/>
        <w:ind w:firstLine="720"/>
        <w:jc w:val="left"/>
        <w:rPr>
          <w:rFonts w:ascii="宋体" w:hAnsi="宋体" w:cs="宋体"/>
        </w:rPr>
      </w:pPr>
      <w:r>
        <w:rPr>
          <w:rFonts w:hint="eastAsia" w:ascii="宋体" w:hAnsi="宋体" w:cs="宋体"/>
        </w:rPr>
        <w:t>2.2.8 密码云</w:t>
      </w:r>
      <w:r>
        <w:rPr>
          <w:rFonts w:ascii="宋体" w:hAnsi="宋体" w:cs="宋体"/>
        </w:rPr>
        <w:t>服务</w:t>
      </w:r>
    </w:p>
    <w:p>
      <w:pPr>
        <w:spacing w:line="360" w:lineRule="auto"/>
        <w:ind w:firstLine="482" w:firstLineChars="200"/>
        <w:rPr>
          <w:rFonts w:hint="eastAsia" w:ascii="宋体" w:hAnsi="宋体" w:cs="宋体"/>
          <w:b/>
          <w:bCs/>
          <w:sz w:val="24"/>
        </w:rPr>
      </w:pPr>
      <w:r>
        <w:rPr>
          <w:rFonts w:hint="eastAsia" w:ascii="宋体" w:hAnsi="宋体" w:cs="宋体"/>
          <w:b/>
          <w:bCs/>
          <w:sz w:val="24"/>
        </w:rPr>
        <w:t>1.签名验证服务QD-MSSP-S</w:t>
      </w:r>
    </w:p>
    <w:p>
      <w:pPr>
        <w:pStyle w:val="5"/>
        <w:snapToGrid w:val="0"/>
        <w:spacing w:line="360" w:lineRule="auto"/>
        <w:ind w:firstLine="480"/>
        <w:rPr>
          <w:rFonts w:hint="eastAsia" w:hAnsi="宋体" w:cs="宋体"/>
        </w:rPr>
      </w:pPr>
      <w:r>
        <w:rPr>
          <w:rFonts w:hint="eastAsia" w:hAnsi="宋体" w:cs="宋体"/>
        </w:rPr>
        <w:t>为系统提供签名验签、杂凑等密码运算服务，保证重要数据的完整性。</w:t>
      </w:r>
    </w:p>
    <w:p>
      <w:pPr>
        <w:spacing w:line="360" w:lineRule="auto"/>
        <w:ind w:firstLine="482" w:firstLineChars="200"/>
        <w:rPr>
          <w:rFonts w:hint="eastAsia" w:ascii="宋体" w:hAnsi="宋体" w:cs="宋体"/>
          <w:b/>
          <w:bCs/>
          <w:sz w:val="24"/>
        </w:rPr>
      </w:pPr>
      <w:r>
        <w:rPr>
          <w:rFonts w:hint="eastAsia" w:ascii="宋体" w:hAnsi="宋体" w:cs="宋体"/>
          <w:b/>
          <w:bCs/>
          <w:sz w:val="24"/>
        </w:rPr>
        <w:t>2.加解密服务QD-MSSP-D</w:t>
      </w:r>
    </w:p>
    <w:p>
      <w:pPr>
        <w:pStyle w:val="5"/>
        <w:snapToGrid w:val="0"/>
        <w:spacing w:line="360" w:lineRule="auto"/>
        <w:ind w:firstLine="480"/>
        <w:rPr>
          <w:rFonts w:hAnsi="宋体" w:cs="宋体"/>
        </w:rPr>
      </w:pPr>
      <w:r>
        <w:rPr>
          <w:rFonts w:hAnsi="宋体" w:cs="宋体"/>
        </w:rPr>
        <w:t>实现对称密钥、非对称密钥全生命周期管理，为系统提供数据加解密服务，确保平台中重要数据存储的机密性</w:t>
      </w:r>
      <w:r>
        <w:rPr>
          <w:rFonts w:hint="eastAsia" w:hAnsi="宋体" w:cs="宋体"/>
        </w:rPr>
        <w:t>。</w:t>
      </w:r>
    </w:p>
    <w:p>
      <w:pPr>
        <w:spacing w:line="360" w:lineRule="auto"/>
        <w:ind w:firstLine="482" w:firstLineChars="200"/>
        <w:rPr>
          <w:rFonts w:hint="eastAsia" w:ascii="宋体" w:hAnsi="宋体" w:cs="宋体"/>
          <w:b/>
          <w:bCs/>
          <w:sz w:val="24"/>
        </w:rPr>
      </w:pPr>
      <w:r>
        <w:rPr>
          <w:rFonts w:hint="eastAsia" w:ascii="宋体" w:hAnsi="宋体" w:cs="宋体"/>
          <w:b/>
          <w:bCs/>
          <w:sz w:val="24"/>
        </w:rPr>
        <w:t>3.时间戳服务QD-MSSP-TSS</w:t>
      </w:r>
    </w:p>
    <w:p>
      <w:pPr>
        <w:pStyle w:val="5"/>
        <w:snapToGrid w:val="0"/>
        <w:spacing w:line="360" w:lineRule="auto"/>
        <w:ind w:firstLine="480"/>
        <w:rPr>
          <w:rFonts w:hint="eastAsia" w:hAnsi="宋体" w:cs="宋体"/>
        </w:rPr>
      </w:pPr>
      <w:r>
        <w:rPr>
          <w:rFonts w:hint="eastAsia" w:hAnsi="宋体" w:cs="宋体"/>
        </w:rPr>
        <w:t>基于国家标准时间源，通过PKI技术为应用系统提供安全、可信的时间戳服务。</w:t>
      </w:r>
    </w:p>
    <w:p>
      <w:pPr>
        <w:spacing w:line="360" w:lineRule="auto"/>
        <w:ind w:firstLine="482" w:firstLineChars="200"/>
        <w:rPr>
          <w:rFonts w:hint="eastAsia" w:ascii="宋体" w:hAnsi="宋体" w:cs="宋体"/>
          <w:b/>
          <w:bCs/>
          <w:sz w:val="24"/>
        </w:rPr>
      </w:pPr>
      <w:r>
        <w:rPr>
          <w:rFonts w:hint="eastAsia" w:ascii="宋体" w:hAnsi="宋体" w:cs="宋体"/>
          <w:b/>
          <w:bCs/>
          <w:sz w:val="24"/>
        </w:rPr>
        <w:t>4.SSL安全服务（国密）QD-MSSP-NAG</w:t>
      </w:r>
    </w:p>
    <w:p>
      <w:pPr>
        <w:pStyle w:val="5"/>
        <w:snapToGrid w:val="0"/>
        <w:spacing w:line="360" w:lineRule="auto"/>
        <w:ind w:firstLine="480"/>
        <w:rPr>
          <w:rFonts w:hint="eastAsia" w:hAnsi="宋体" w:cs="宋体"/>
        </w:rPr>
      </w:pPr>
      <w:r>
        <w:rPr>
          <w:rFonts w:hint="eastAsia" w:hAnsi="宋体" w:cs="宋体"/>
        </w:rPr>
        <w:t>基于SM2/3/4算法SSL建立通信信道，保证用户访问系统以及重要数据传输过程中的机密性和完整性</w:t>
      </w:r>
    </w:p>
    <w:p>
      <w:pPr>
        <w:pStyle w:val="6"/>
        <w:ind w:firstLine="720"/>
        <w:jc w:val="left"/>
        <w:rPr>
          <w:rFonts w:ascii="宋体" w:hAnsi="宋体" w:cs="宋体"/>
        </w:rPr>
      </w:pPr>
      <w:r>
        <w:rPr>
          <w:rFonts w:hint="eastAsia" w:ascii="宋体" w:hAnsi="宋体" w:cs="宋体"/>
        </w:rPr>
        <w:t xml:space="preserve">2.2.9 </w:t>
      </w:r>
      <w:r>
        <w:rPr>
          <w:rFonts w:ascii="宋体" w:hAnsi="宋体" w:cs="宋体"/>
        </w:rPr>
        <w:t>其他服务</w:t>
      </w:r>
    </w:p>
    <w:p>
      <w:pPr>
        <w:spacing w:line="360" w:lineRule="auto"/>
        <w:ind w:firstLine="482" w:firstLineChars="200"/>
        <w:rPr>
          <w:rFonts w:hint="eastAsia" w:ascii="宋体" w:hAnsi="宋体" w:cs="宋体"/>
          <w:b/>
          <w:bCs/>
          <w:sz w:val="24"/>
        </w:rPr>
      </w:pPr>
      <w:r>
        <w:rPr>
          <w:rFonts w:hint="eastAsia" w:ascii="宋体" w:hAnsi="宋体" w:cs="宋体"/>
          <w:b/>
          <w:bCs/>
          <w:sz w:val="24"/>
        </w:rPr>
        <w:t>1.租用快照备份服务</w:t>
      </w:r>
    </w:p>
    <w:p>
      <w:pPr>
        <w:pStyle w:val="5"/>
        <w:snapToGrid w:val="0"/>
        <w:spacing w:line="360" w:lineRule="auto"/>
        <w:ind w:firstLine="480"/>
        <w:rPr>
          <w:rFonts w:hint="eastAsia" w:hAnsi="宋体" w:cs="宋体"/>
          <w:bCs/>
        </w:rPr>
      </w:pPr>
      <w:r>
        <w:rPr>
          <w:rFonts w:hint="eastAsia" w:hAnsi="宋体" w:cs="宋体"/>
        </w:rPr>
        <w:t>提供快照备份服务，</w:t>
      </w:r>
      <w:r>
        <w:rPr>
          <w:rFonts w:hint="eastAsia" w:hAnsi="宋体" w:cs="宋体"/>
          <w:bCs/>
        </w:rPr>
        <w:t>按照采购人的各个应用系统对资源的备份需求通过备份策略实现对用户数据（文件、操作系统、数据库）的备份/异地备份（不包含备份存储空间费用），默认提供非结构化数据保护与文件备份保护。备份应满足如下要求:</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（1）备份介质本身具备高可用性和冗余性。</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（2）备份方式包括完整备份、差异备份和增量备份。</w:t>
      </w:r>
    </w:p>
    <w:p>
      <w:pPr>
        <w:snapToGrid w:val="0"/>
        <w:spacing w:line="360" w:lineRule="auto"/>
        <w:ind w:firstLine="480" w:firstLineChars="200"/>
        <w:rPr>
          <w:rFonts w:hint="eastAsia" w:ascii="宋体" w:hAnsi="宋体" w:cs="宋体"/>
          <w:sz w:val="24"/>
        </w:rPr>
      </w:pPr>
      <w:r>
        <w:rPr>
          <w:rFonts w:hint="eastAsia" w:ascii="宋体" w:hAnsi="宋体" w:cs="宋体"/>
          <w:bCs/>
          <w:sz w:val="24"/>
        </w:rPr>
        <w:t>（3）支持Windows系列操作系统、Linux主流系统操作系统、主流数据库软件、主流中间件软件、结构化数据以及非结构化数据等备份对象。</w:t>
      </w:r>
    </w:p>
    <w:p>
      <w:pPr>
        <w:pStyle w:val="10"/>
        <w:adjustRightInd w:val="0"/>
        <w:spacing w:line="360" w:lineRule="auto"/>
        <w:ind w:firstLine="424" w:firstLineChars="177"/>
        <w:contextualSpacing/>
        <w:jc w:val="left"/>
        <w:rPr>
          <w:rFonts w:ascii="Times New Roman" w:hAnsi="Times New Roman"/>
          <w:sz w:val="24"/>
          <w:szCs w:val="24"/>
        </w:rPr>
      </w:pPr>
    </w:p>
    <w:p>
      <w:pPr>
        <w:spacing w:line="360" w:lineRule="auto"/>
        <w:outlineLvl w:val="2"/>
        <w:rPr>
          <w:rFonts w:hint="eastAsia"/>
          <w:color w:val="000000"/>
          <w:sz w:val="24"/>
          <w:szCs w:val="20"/>
        </w:rPr>
      </w:pPr>
      <w:bookmarkStart w:id="1" w:name="_Toc6880"/>
      <w:r>
        <w:rPr>
          <w:rFonts w:hint="eastAsia"/>
          <w:color w:val="000000"/>
          <w:sz w:val="24"/>
          <w:szCs w:val="20"/>
        </w:rPr>
        <w:t>2.3 运维团队要求</w:t>
      </w:r>
      <w:bookmarkEnd w:id="1"/>
    </w:p>
    <w:p>
      <w:pPr>
        <w:snapToGrid w:val="0"/>
        <w:spacing w:line="360" w:lineRule="auto"/>
        <w:ind w:firstLine="480" w:firstLineChars="200"/>
        <w:rPr>
          <w:rFonts w:hint="eastAsia" w:ascii="宋体" w:hAnsi="宋体" w:cs="宋体"/>
          <w:bCs/>
          <w:sz w:val="24"/>
        </w:rPr>
      </w:pPr>
      <w:r>
        <w:rPr>
          <w:rFonts w:hint="eastAsia" w:ascii="宋体" w:hAnsi="宋体" w:cs="宋体"/>
          <w:bCs/>
          <w:sz w:val="24"/>
        </w:rPr>
        <w:t>1.服务期内，投标人须设有7×24小时电话响应服务、具备运维团队，提供售后服务保障。团队成员应明确职责，架构清晰，岗位设置合理，且具备与本项目相关的项目经验。</w:t>
      </w:r>
    </w:p>
    <w:p>
      <w:pPr>
        <w:snapToGrid w:val="0"/>
        <w:spacing w:line="360" w:lineRule="auto"/>
        <w:ind w:firstLine="480" w:firstLineChars="200"/>
        <w:rPr>
          <w:rFonts w:hint="eastAsia" w:ascii="宋体" w:hAnsi="宋体" w:cs="宋体"/>
          <w:bCs/>
          <w:sz w:val="24"/>
        </w:rPr>
      </w:pPr>
      <w:r>
        <w:rPr>
          <w:rFonts w:hint="eastAsia" w:ascii="宋体" w:hAnsi="宋体" w:cs="宋体"/>
          <w:bCs/>
          <w:sz w:val="24"/>
        </w:rPr>
        <w:t>2.投标人须提供1名项目经理、1名安全技术负责人及15名项目团队专职人员，为本项目提供服务。项目经理及安全负责人需按照采购人要求，承担云资源服务保障具体工作，技术支持人员要求如下：</w:t>
      </w:r>
    </w:p>
    <w:p>
      <w:pPr>
        <w:spacing w:after="120" w:afterLines="50"/>
        <w:jc w:val="center"/>
        <w:rPr>
          <w:rFonts w:hint="eastAsia" w:ascii="宋体" w:hAnsi="宋体" w:cs="宋体"/>
          <w:b/>
          <w:sz w:val="24"/>
        </w:rPr>
      </w:pPr>
      <w:r>
        <w:rPr>
          <w:rFonts w:hint="eastAsia" w:ascii="宋体" w:hAnsi="宋体" w:cs="宋体"/>
          <w:b/>
          <w:sz w:val="24"/>
        </w:rPr>
        <w:t>服务团队人员要求</w:t>
      </w:r>
    </w:p>
    <w:tbl>
      <w:tblPr>
        <w:tblStyle w:val="7"/>
        <w:tblW w:w="9281" w:type="dxa"/>
        <w:tblInd w:w="0" w:type="dxa"/>
        <w:tblLayout w:type="fixed"/>
        <w:tblCellMar>
          <w:top w:w="0" w:type="dxa"/>
          <w:left w:w="108" w:type="dxa"/>
          <w:bottom w:w="0" w:type="dxa"/>
          <w:right w:w="108" w:type="dxa"/>
        </w:tblCellMar>
      </w:tblPr>
      <w:tblGrid>
        <w:gridCol w:w="1046"/>
        <w:gridCol w:w="552"/>
        <w:gridCol w:w="718"/>
        <w:gridCol w:w="2159"/>
        <w:gridCol w:w="4806"/>
      </w:tblGrid>
      <w:tr>
        <w:tblPrEx>
          <w:tblLayout w:type="fixed"/>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岗位</w:t>
            </w:r>
          </w:p>
        </w:tc>
        <w:tc>
          <w:tcPr>
            <w:tcW w:w="5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数量</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学历</w:t>
            </w:r>
          </w:p>
        </w:tc>
        <w:tc>
          <w:tcPr>
            <w:tcW w:w="2159" w:type="dxa"/>
            <w:tcBorders>
              <w:top w:val="single" w:color="auto" w:sz="6" w:space="0"/>
              <w:left w:val="single" w:color="auto" w:sz="4"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工作经验</w:t>
            </w:r>
          </w:p>
        </w:tc>
        <w:tc>
          <w:tcPr>
            <w:tcW w:w="4806"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等线 Light"/>
                <w:sz w:val="24"/>
              </w:rPr>
              <w:t>岗位需具备的上岗资格证等要求</w:t>
            </w:r>
          </w:p>
        </w:tc>
      </w:tr>
      <w:tr>
        <w:tblPrEx>
          <w:tblLayout w:type="fixed"/>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项目</w:t>
            </w:r>
          </w:p>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经理</w:t>
            </w:r>
          </w:p>
        </w:tc>
        <w:tc>
          <w:tcPr>
            <w:tcW w:w="5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本科及以上</w:t>
            </w:r>
          </w:p>
        </w:tc>
        <w:tc>
          <w:tcPr>
            <w:tcW w:w="2159" w:type="dxa"/>
            <w:tcBorders>
              <w:top w:val="single" w:color="auto" w:sz="6" w:space="0"/>
              <w:left w:val="single" w:color="auto" w:sz="4"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sz w:val="24"/>
              </w:rPr>
              <w:t>有5年及以上类似</w:t>
            </w:r>
            <w:r>
              <w:rPr>
                <w:rFonts w:hint="eastAsia" w:ascii="宋体" w:hAnsi="宋体" w:cs="宋体"/>
                <w:bCs/>
                <w:sz w:val="24"/>
                <w:lang w:eastAsia="zh-CN"/>
              </w:rPr>
              <w:t>项目</w:t>
            </w:r>
            <w:r>
              <w:rPr>
                <w:rFonts w:hint="eastAsia" w:ascii="宋体" w:hAnsi="宋体" w:cs="宋体"/>
                <w:bCs/>
                <w:sz w:val="24"/>
              </w:rPr>
              <w:t>工作经验</w:t>
            </w:r>
          </w:p>
        </w:tc>
        <w:tc>
          <w:tcPr>
            <w:tcW w:w="480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宋体" w:hAnsi="宋体" w:cs="宋体"/>
                <w:bCs/>
                <w:sz w:val="24"/>
              </w:rPr>
            </w:pPr>
            <w:r>
              <w:rPr>
                <w:rFonts w:hint="eastAsia" w:ascii="宋体" w:hAnsi="宋体" w:cs="宋体"/>
                <w:bCs/>
                <w:sz w:val="24"/>
              </w:rPr>
              <w:t>1、信息系统项目管理师</w:t>
            </w:r>
            <w:r>
              <w:rPr>
                <w:rFonts w:hint="eastAsia" w:ascii="宋体" w:hAnsi="宋体" w:cs="宋体"/>
                <w:color w:val="000000"/>
                <w:kern w:val="0"/>
                <w:sz w:val="24"/>
              </w:rPr>
              <w:t>证书（高级）</w:t>
            </w:r>
          </w:p>
          <w:p>
            <w:pPr>
              <w:snapToGrid w:val="0"/>
              <w:spacing w:line="360" w:lineRule="auto"/>
              <w:rPr>
                <w:rFonts w:hint="eastAsia" w:ascii="宋体" w:hAnsi="宋体" w:cs="宋体"/>
                <w:bCs/>
                <w:sz w:val="24"/>
              </w:rPr>
            </w:pPr>
            <w:r>
              <w:rPr>
                <w:rFonts w:hint="eastAsia" w:ascii="宋体" w:hAnsi="宋体" w:cs="宋体"/>
                <w:bCs/>
                <w:sz w:val="24"/>
              </w:rPr>
              <w:t>2、信息安全保障人员认证证书（安全运维专业级或以上）</w:t>
            </w:r>
          </w:p>
          <w:p>
            <w:pPr>
              <w:snapToGrid w:val="0"/>
              <w:spacing w:line="360" w:lineRule="auto"/>
              <w:rPr>
                <w:rFonts w:hint="eastAsia" w:ascii="宋体" w:hAnsi="宋体" w:cs="宋体"/>
                <w:bCs/>
                <w:sz w:val="24"/>
              </w:rPr>
            </w:pPr>
            <w:r>
              <w:rPr>
                <w:rFonts w:hint="eastAsia" w:ascii="宋体" w:hAnsi="宋体" w:cs="宋体"/>
                <w:bCs/>
                <w:sz w:val="24"/>
              </w:rPr>
              <w:t>3、信息安全保障人员认证证书（应急服务专业级或以上）</w:t>
            </w:r>
          </w:p>
          <w:p>
            <w:pPr>
              <w:adjustRightInd w:val="0"/>
              <w:spacing w:line="360" w:lineRule="auto"/>
              <w:textAlignment w:val="baseline"/>
              <w:rPr>
                <w:rFonts w:hint="eastAsia" w:ascii="宋体" w:hAnsi="宋体" w:cs="宋体"/>
                <w:bCs/>
                <w:color w:val="000000"/>
                <w:sz w:val="24"/>
              </w:rPr>
            </w:pPr>
            <w:r>
              <w:rPr>
                <w:rFonts w:hint="eastAsia" w:ascii="宋体" w:hAnsi="宋体" w:cs="宋体"/>
                <w:color w:val="000000"/>
                <w:kern w:val="0"/>
                <w:sz w:val="24"/>
              </w:rPr>
              <w:t>4、具备公安部网络安全等级保护评估中心颁发的有效的国家重要信息系统保护人员证书（CIIPT-A或CIIPT-D）</w:t>
            </w:r>
          </w:p>
        </w:tc>
      </w:tr>
      <w:tr>
        <w:tblPrEx>
          <w:tblLayout w:type="fixed"/>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安全技术负责人</w:t>
            </w:r>
          </w:p>
        </w:tc>
        <w:tc>
          <w:tcPr>
            <w:tcW w:w="5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1</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本科及以上</w:t>
            </w:r>
          </w:p>
        </w:tc>
        <w:tc>
          <w:tcPr>
            <w:tcW w:w="2159" w:type="dxa"/>
            <w:tcBorders>
              <w:top w:val="single" w:color="auto" w:sz="6" w:space="0"/>
              <w:left w:val="single" w:color="auto" w:sz="4"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sz w:val="24"/>
              </w:rPr>
              <w:t>有5年及以上类似</w:t>
            </w:r>
            <w:r>
              <w:rPr>
                <w:rFonts w:hint="eastAsia" w:ascii="宋体" w:hAnsi="宋体" w:cs="宋体"/>
                <w:bCs/>
                <w:sz w:val="24"/>
                <w:lang w:eastAsia="zh-CN"/>
              </w:rPr>
              <w:t>项目</w:t>
            </w:r>
            <w:r>
              <w:rPr>
                <w:rFonts w:hint="eastAsia" w:ascii="宋体" w:hAnsi="宋体" w:cs="宋体"/>
                <w:bCs/>
                <w:sz w:val="24"/>
              </w:rPr>
              <w:t>工作经验</w:t>
            </w:r>
          </w:p>
        </w:tc>
        <w:tc>
          <w:tcPr>
            <w:tcW w:w="480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宋体" w:hAnsi="宋体" w:cs="宋体"/>
                <w:bCs/>
                <w:sz w:val="24"/>
              </w:rPr>
            </w:pPr>
            <w:r>
              <w:rPr>
                <w:rFonts w:hint="eastAsia" w:ascii="宋体" w:hAnsi="宋体" w:cs="宋体"/>
                <w:bCs/>
                <w:sz w:val="24"/>
              </w:rPr>
              <w:t>1、信息安全保障人员认证证书（安全集成专业级或以上）</w:t>
            </w:r>
          </w:p>
          <w:p>
            <w:pPr>
              <w:snapToGrid w:val="0"/>
              <w:spacing w:line="360" w:lineRule="auto"/>
              <w:rPr>
                <w:rFonts w:hint="eastAsia" w:ascii="宋体" w:hAnsi="宋体" w:cs="宋体"/>
                <w:bCs/>
                <w:sz w:val="24"/>
              </w:rPr>
            </w:pPr>
            <w:r>
              <w:rPr>
                <w:rFonts w:hint="eastAsia" w:ascii="宋体" w:hAnsi="宋体" w:cs="宋体"/>
                <w:bCs/>
                <w:sz w:val="24"/>
              </w:rPr>
              <w:t>2、信息安全保障人员认证证书（应急服务专业级或以上）</w:t>
            </w:r>
          </w:p>
          <w:p>
            <w:pPr>
              <w:snapToGrid w:val="0"/>
              <w:spacing w:line="360" w:lineRule="auto"/>
              <w:rPr>
                <w:rFonts w:hint="eastAsia" w:ascii="宋体" w:hAnsi="宋体" w:cs="宋体"/>
                <w:bCs/>
                <w:sz w:val="24"/>
              </w:rPr>
            </w:pPr>
            <w:r>
              <w:rPr>
                <w:rFonts w:hint="eastAsia" w:ascii="宋体" w:hAnsi="宋体" w:cs="宋体"/>
                <w:bCs/>
                <w:sz w:val="24"/>
              </w:rPr>
              <w:t>3、注册信息安全工程师证书（CISE）</w:t>
            </w:r>
          </w:p>
        </w:tc>
      </w:tr>
      <w:tr>
        <w:tblPrEx>
          <w:tblLayout w:type="fixed"/>
          <w:tblCellMar>
            <w:top w:w="0" w:type="dxa"/>
            <w:left w:w="108" w:type="dxa"/>
            <w:bottom w:w="0" w:type="dxa"/>
            <w:right w:w="108" w:type="dxa"/>
          </w:tblCellMar>
        </w:tblPrEx>
        <w:trPr>
          <w:trHeight w:val="700" w:hRule="atLeast"/>
        </w:trPr>
        <w:tc>
          <w:tcPr>
            <w:tcW w:w="104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项目</w:t>
            </w:r>
          </w:p>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人员</w:t>
            </w:r>
          </w:p>
        </w:tc>
        <w:tc>
          <w:tcPr>
            <w:tcW w:w="55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ascii="宋体" w:hAnsi="宋体" w:cs="宋体"/>
                <w:bCs/>
                <w:color w:val="000000"/>
                <w:sz w:val="24"/>
              </w:rPr>
            </w:pPr>
            <w:r>
              <w:rPr>
                <w:rFonts w:hint="eastAsia" w:ascii="宋体" w:hAnsi="宋体" w:cs="宋体"/>
                <w:bCs/>
                <w:color w:val="000000"/>
                <w:sz w:val="24"/>
              </w:rPr>
              <w:t>10</w:t>
            </w:r>
          </w:p>
        </w:tc>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color w:val="000000"/>
                <w:sz w:val="24"/>
              </w:rPr>
              <w:t>本科及以上</w:t>
            </w:r>
          </w:p>
        </w:tc>
        <w:tc>
          <w:tcPr>
            <w:tcW w:w="2159" w:type="dxa"/>
            <w:tcBorders>
              <w:top w:val="single" w:color="auto" w:sz="6" w:space="0"/>
              <w:left w:val="single" w:color="auto" w:sz="4"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bCs/>
                <w:color w:val="000000"/>
                <w:sz w:val="24"/>
              </w:rPr>
            </w:pPr>
            <w:r>
              <w:rPr>
                <w:rFonts w:hint="eastAsia" w:ascii="宋体" w:hAnsi="宋体" w:cs="宋体"/>
                <w:bCs/>
                <w:sz w:val="24"/>
              </w:rPr>
              <w:t>有5年及以上类似工作经验</w:t>
            </w:r>
          </w:p>
        </w:tc>
        <w:tc>
          <w:tcPr>
            <w:tcW w:w="4806" w:type="dxa"/>
            <w:tcBorders>
              <w:top w:val="single" w:color="auto" w:sz="6" w:space="0"/>
              <w:left w:val="single" w:color="auto" w:sz="6" w:space="0"/>
              <w:bottom w:val="single" w:color="auto" w:sz="6" w:space="0"/>
              <w:right w:val="single" w:color="auto" w:sz="6" w:space="0"/>
            </w:tcBorders>
            <w:noWrap w:val="0"/>
            <w:vAlign w:val="center"/>
          </w:tcPr>
          <w:p>
            <w:pPr>
              <w:snapToGrid w:val="0"/>
              <w:spacing w:line="360" w:lineRule="auto"/>
              <w:rPr>
                <w:rFonts w:hint="eastAsia" w:ascii="宋体" w:hAnsi="宋体" w:cs="宋体"/>
                <w:bCs/>
                <w:sz w:val="24"/>
              </w:rPr>
            </w:pPr>
            <w:r>
              <w:rPr>
                <w:rFonts w:hint="eastAsia" w:ascii="宋体" w:hAnsi="宋体" w:cs="宋体"/>
                <w:bCs/>
                <w:sz w:val="24"/>
              </w:rPr>
              <w:t>1、系统规划与管理师资质证书（高级）</w:t>
            </w:r>
          </w:p>
          <w:p>
            <w:pPr>
              <w:snapToGrid w:val="0"/>
              <w:spacing w:line="360" w:lineRule="auto"/>
              <w:rPr>
                <w:rFonts w:hint="eastAsia" w:ascii="宋体" w:hAnsi="宋体" w:cs="宋体"/>
                <w:bCs/>
                <w:sz w:val="24"/>
              </w:rPr>
            </w:pPr>
            <w:r>
              <w:rPr>
                <w:rFonts w:hint="eastAsia" w:ascii="宋体" w:hAnsi="宋体" w:cs="宋体"/>
                <w:bCs/>
                <w:sz w:val="24"/>
              </w:rPr>
              <w:t>2、系统分析师资质证书（高级）</w:t>
            </w:r>
          </w:p>
          <w:p>
            <w:pPr>
              <w:snapToGrid w:val="0"/>
              <w:spacing w:line="360" w:lineRule="auto"/>
              <w:rPr>
                <w:rFonts w:hint="eastAsia" w:ascii="宋体" w:hAnsi="宋体" w:cs="宋体"/>
                <w:bCs/>
                <w:sz w:val="24"/>
              </w:rPr>
            </w:pPr>
            <w:r>
              <w:rPr>
                <w:rFonts w:hint="eastAsia" w:ascii="宋体" w:hAnsi="宋体" w:cs="宋体"/>
                <w:bCs/>
                <w:sz w:val="24"/>
              </w:rPr>
              <w:t>3、系统架构设计师认证证书（高级）</w:t>
            </w:r>
          </w:p>
          <w:p>
            <w:pPr>
              <w:adjustRightInd w:val="0"/>
              <w:spacing w:line="360" w:lineRule="auto"/>
              <w:textAlignment w:val="baseline"/>
              <w:rPr>
                <w:rFonts w:hint="eastAsia" w:ascii="宋体" w:hAnsi="宋体" w:cs="宋体"/>
                <w:bCs/>
                <w:sz w:val="24"/>
              </w:rPr>
            </w:pPr>
            <w:r>
              <w:rPr>
                <w:rFonts w:hint="eastAsia" w:ascii="宋体" w:hAnsi="宋体" w:cs="宋体"/>
                <w:bCs/>
                <w:sz w:val="24"/>
              </w:rPr>
              <w:t>4、注册信息安全工程师证书（CISE）</w:t>
            </w:r>
          </w:p>
          <w:p>
            <w:pPr>
              <w:adjustRightInd w:val="0"/>
              <w:spacing w:line="360" w:lineRule="auto"/>
              <w:textAlignment w:val="baseline"/>
              <w:rPr>
                <w:rFonts w:hint="eastAsia"/>
                <w:sz w:val="24"/>
              </w:rPr>
            </w:pPr>
            <w:r>
              <w:rPr>
                <w:rFonts w:hint="eastAsia"/>
                <w:sz w:val="24"/>
                <w:lang w:val="en-US" w:eastAsia="zh-CN"/>
              </w:rPr>
              <w:t>5、</w:t>
            </w:r>
            <w:r>
              <w:rPr>
                <w:rFonts w:hint="eastAsia"/>
                <w:sz w:val="24"/>
              </w:rPr>
              <w:t>网络规划设计师证书</w:t>
            </w:r>
          </w:p>
          <w:p>
            <w:pPr>
              <w:adjustRightInd w:val="0"/>
              <w:spacing w:line="360" w:lineRule="auto"/>
              <w:textAlignment w:val="baseline"/>
              <w:rPr>
                <w:rFonts w:hint="eastAsia" w:ascii="宋体" w:hAnsi="宋体" w:cs="宋体"/>
                <w:bCs/>
                <w:sz w:val="24"/>
              </w:rPr>
            </w:pPr>
            <w:r>
              <w:rPr>
                <w:rFonts w:hint="eastAsia"/>
                <w:sz w:val="24"/>
                <w:lang w:val="en-US" w:eastAsia="zh-CN"/>
              </w:rPr>
              <w:t>6、</w:t>
            </w:r>
            <w:r>
              <w:rPr>
                <w:rFonts w:hint="eastAsia"/>
                <w:sz w:val="24"/>
              </w:rPr>
              <w:t>数据库系统工程师证书</w:t>
            </w:r>
          </w:p>
        </w:tc>
      </w:tr>
    </w:tbl>
    <w:p>
      <w:pPr>
        <w:snapToGrid w:val="0"/>
        <w:spacing w:line="360" w:lineRule="auto"/>
        <w:ind w:firstLine="480" w:firstLineChars="200"/>
        <w:rPr>
          <w:rFonts w:hint="eastAsia" w:ascii="宋体" w:hAnsi="宋体" w:cs="宋体"/>
          <w:bCs/>
          <w:sz w:val="24"/>
        </w:rPr>
      </w:pPr>
    </w:p>
    <w:p>
      <w:pPr>
        <w:pStyle w:val="3"/>
      </w:pPr>
      <w:r>
        <w:t>3. 验收标准</w:t>
      </w:r>
    </w:p>
    <w:p>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3.1服务绩效指标</w:t>
      </w:r>
    </w:p>
    <w:p>
      <w:pPr>
        <w:snapToGrid w:val="0"/>
        <w:spacing w:line="360" w:lineRule="auto"/>
        <w:ind w:firstLine="480" w:firstLineChars="200"/>
        <w:rPr>
          <w:rFonts w:hint="eastAsia" w:ascii="宋体" w:hAnsi="宋体" w:cs="宋体"/>
          <w:sz w:val="24"/>
        </w:rPr>
      </w:pPr>
      <w:r>
        <w:rPr>
          <w:rFonts w:hint="eastAsia" w:ascii="宋体" w:hAnsi="宋体" w:cs="宋体"/>
          <w:sz w:val="24"/>
        </w:rPr>
        <w:t>（1）云服务全年整体可用性≥99.9%；</w:t>
      </w:r>
    </w:p>
    <w:p>
      <w:pPr>
        <w:snapToGrid w:val="0"/>
        <w:spacing w:line="360" w:lineRule="auto"/>
        <w:ind w:firstLine="480" w:firstLineChars="200"/>
        <w:rPr>
          <w:rFonts w:hint="eastAsia" w:ascii="宋体" w:hAnsi="宋体" w:cs="宋体"/>
          <w:sz w:val="24"/>
        </w:rPr>
      </w:pPr>
      <w:r>
        <w:rPr>
          <w:rFonts w:hint="eastAsia" w:ascii="宋体" w:hAnsi="宋体" w:cs="宋体"/>
          <w:sz w:val="24"/>
        </w:rPr>
        <w:t>（2）故障响应率100%；</w:t>
      </w:r>
    </w:p>
    <w:p>
      <w:pPr>
        <w:snapToGrid w:val="0"/>
        <w:spacing w:line="360" w:lineRule="auto"/>
        <w:ind w:firstLine="480" w:firstLineChars="200"/>
        <w:rPr>
          <w:rFonts w:hint="eastAsia" w:ascii="宋体" w:hAnsi="宋体" w:cs="宋体"/>
          <w:sz w:val="24"/>
        </w:rPr>
      </w:pPr>
      <w:r>
        <w:rPr>
          <w:rFonts w:hint="eastAsia" w:ascii="宋体" w:hAnsi="宋体" w:cs="宋体"/>
          <w:sz w:val="24"/>
        </w:rPr>
        <w:t>（3）应急响应时间≤5分钟（重大事件1分钟内响应）。</w:t>
      </w:r>
    </w:p>
    <w:p>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3.2项目验收要求</w:t>
      </w:r>
    </w:p>
    <w:p>
      <w:pPr>
        <w:snapToGrid w:val="0"/>
        <w:spacing w:line="360" w:lineRule="auto"/>
        <w:ind w:firstLine="480" w:firstLineChars="200"/>
        <w:rPr>
          <w:rFonts w:hint="eastAsia" w:ascii="宋体" w:hAnsi="宋体" w:cs="宋体"/>
          <w:sz w:val="24"/>
        </w:rPr>
      </w:pPr>
      <w:r>
        <w:rPr>
          <w:rFonts w:hint="eastAsia" w:ascii="宋体" w:hAnsi="宋体" w:cs="宋体"/>
          <w:sz w:val="24"/>
        </w:rPr>
        <w:t>（1）投标人所提供的北京市市级政务云基础资源服务应遵循客观、科学、合理的原则，符合《北京市市级政务云管理办法》的相关标准及要求。</w:t>
      </w:r>
    </w:p>
    <w:p>
      <w:pPr>
        <w:snapToGrid w:val="0"/>
        <w:spacing w:line="360" w:lineRule="auto"/>
        <w:ind w:firstLine="480" w:firstLineChars="200"/>
        <w:rPr>
          <w:rFonts w:hint="eastAsia" w:ascii="宋体" w:hAnsi="宋体" w:cs="宋体"/>
          <w:sz w:val="24"/>
        </w:rPr>
      </w:pPr>
      <w:r>
        <w:rPr>
          <w:rFonts w:hint="eastAsia" w:ascii="宋体" w:hAnsi="宋体" w:cs="宋体"/>
          <w:sz w:val="24"/>
        </w:rPr>
        <w:t>（2）投标人所提供资源应满足采购文件规定的要求。保证合同期内系统安全稳定运行，不因硬件故障导致服务中断4小时及以上。</w:t>
      </w:r>
    </w:p>
    <w:p>
      <w:pPr>
        <w:snapToGrid w:val="0"/>
        <w:spacing w:line="360" w:lineRule="auto"/>
        <w:ind w:firstLine="480" w:firstLineChars="200"/>
        <w:rPr>
          <w:rFonts w:hint="eastAsia" w:ascii="宋体" w:hAnsi="宋体" w:cs="宋体"/>
          <w:sz w:val="24"/>
        </w:rPr>
      </w:pPr>
      <w:r>
        <w:rPr>
          <w:rFonts w:hint="eastAsia" w:ascii="宋体" w:hAnsi="宋体" w:cs="宋体"/>
          <w:sz w:val="24"/>
        </w:rPr>
        <w:t>（3）服务期满后10个工作日开始对合同项目进行验收，投标人应当在采购人指定的验收日前向采购人提交验收报告。验收报告的内容包括但不限于，合同规定的各项服务清单，各系统设备运行情况。</w:t>
      </w:r>
    </w:p>
    <w:p>
      <w:pPr>
        <w:widowControl/>
        <w:spacing w:line="360" w:lineRule="auto"/>
        <w:ind w:firstLine="482"/>
        <w:contextualSpacing/>
        <w:rPr>
          <w:b/>
          <w:sz w:val="24"/>
        </w:rPr>
      </w:pPr>
      <w:r>
        <w:rPr>
          <w:rFonts w:hint="eastAsia" w:ascii="宋体" w:hAnsi="宋体" w:cs="宋体"/>
          <w:sz w:val="24"/>
        </w:rPr>
        <w:t>（4）服务期届满，投标人按照采购人要求完成所有项目，各项记录、报告等文档齐全，无任何系统遗留问题，并通过由采购人组织的专家验收评审，方可通过验收。</w:t>
      </w:r>
    </w:p>
    <w:p>
      <w:pPr>
        <w:pStyle w:val="3"/>
      </w:pPr>
      <w:r>
        <w:t>4. 其他要求</w:t>
      </w:r>
    </w:p>
    <w:p>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4.1合同要求</w:t>
      </w:r>
    </w:p>
    <w:p>
      <w:pPr>
        <w:snapToGrid w:val="0"/>
        <w:spacing w:line="360" w:lineRule="auto"/>
        <w:ind w:firstLine="480" w:firstLineChars="200"/>
        <w:rPr>
          <w:rFonts w:hint="eastAsia" w:ascii="宋体" w:hAnsi="宋体" w:cs="宋体"/>
          <w:sz w:val="24"/>
        </w:rPr>
      </w:pPr>
      <w:r>
        <w:rPr>
          <w:rFonts w:hint="eastAsia" w:ascii="宋体" w:hAnsi="宋体" w:cs="宋体"/>
          <w:sz w:val="24"/>
        </w:rPr>
        <w:t>（1）采购人与中标人如需变更政府采购合同的相关条款应遵守《中华人民共和国政府采购法》第五章关于政府采购合同的规定。</w:t>
      </w:r>
    </w:p>
    <w:p>
      <w:pPr>
        <w:snapToGrid w:val="0"/>
        <w:spacing w:line="360" w:lineRule="auto"/>
        <w:ind w:firstLine="480" w:firstLineChars="200"/>
        <w:rPr>
          <w:rFonts w:hint="eastAsia" w:ascii="宋体" w:hAnsi="宋体" w:cs="宋体"/>
          <w:sz w:val="24"/>
        </w:rPr>
      </w:pPr>
      <w:r>
        <w:rPr>
          <w:rFonts w:hint="eastAsia" w:ascii="宋体" w:hAnsi="宋体" w:cs="宋体"/>
          <w:sz w:val="24"/>
        </w:rPr>
        <w:t>（2）对于分包事项（如等保测评、密码应用安全性评估等），采购人应当对分包承接主体的网络安全能力进行评估，与网络服务提供者签订合同及保密协议，明确约定各方保障网络和数据安全的权利及义务。投标人应当具备网络安全管理能力及相关资质，对提供产品和服务的安全性、合规性负责。发生网络安全事件时，在依法按程序报告的同时，投标人应当及时向采购人报告，并有义务配合调查。</w:t>
      </w:r>
    </w:p>
    <w:p>
      <w:pPr>
        <w:snapToGrid w:val="0"/>
        <w:spacing w:line="360" w:lineRule="auto"/>
        <w:ind w:firstLine="480" w:firstLineChars="200"/>
        <w:rPr>
          <w:rFonts w:hint="eastAsia" w:ascii="宋体" w:hAnsi="宋体" w:cs="宋体"/>
          <w:sz w:val="24"/>
        </w:rPr>
      </w:pPr>
      <w:r>
        <w:rPr>
          <w:rFonts w:hint="eastAsia" w:ascii="宋体" w:hAnsi="宋体" w:cs="宋体"/>
          <w:sz w:val="24"/>
        </w:rPr>
        <w:t>（3）采购人应当加强政务网络和信息系统权限管理，最高管理权限务必由采购人专人负责，按照最小必要原则对投标人进行精细化授权，防范越权访问风险。</w:t>
      </w:r>
    </w:p>
    <w:p>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4.2保密要求</w:t>
      </w:r>
    </w:p>
    <w:p>
      <w:pPr>
        <w:snapToGrid w:val="0"/>
        <w:spacing w:line="360" w:lineRule="auto"/>
        <w:ind w:firstLine="480" w:firstLineChars="200"/>
        <w:rPr>
          <w:rFonts w:hint="eastAsia" w:ascii="宋体" w:hAnsi="宋体" w:cs="宋体"/>
          <w:sz w:val="24"/>
        </w:rPr>
      </w:pPr>
      <w:r>
        <w:rPr>
          <w:rFonts w:hint="eastAsia" w:ascii="宋体" w:hAnsi="宋体" w:cs="宋体"/>
          <w:sz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pPr>
        <w:snapToGrid w:val="0"/>
        <w:spacing w:line="360" w:lineRule="auto"/>
        <w:ind w:firstLine="480" w:firstLineChars="200"/>
        <w:rPr>
          <w:rFonts w:hint="eastAsia" w:ascii="宋体" w:hAnsi="宋体" w:cs="宋体"/>
          <w:sz w:val="24"/>
        </w:rPr>
      </w:pPr>
      <w:r>
        <w:rPr>
          <w:rFonts w:hint="eastAsia" w:ascii="宋体" w:hAnsi="宋体" w:cs="宋体"/>
          <w:sz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pPr>
        <w:snapToGrid w:val="0"/>
        <w:spacing w:line="360" w:lineRule="auto"/>
        <w:ind w:firstLine="480" w:firstLineChars="200"/>
        <w:rPr>
          <w:rFonts w:hint="eastAsia" w:ascii="宋体" w:hAnsi="宋体" w:cs="宋体"/>
          <w:sz w:val="24"/>
        </w:rPr>
      </w:pPr>
      <w:r>
        <w:rPr>
          <w:rFonts w:hint="eastAsia" w:ascii="宋体" w:hAnsi="宋体" w:cs="宋体"/>
          <w:sz w:val="24"/>
        </w:rPr>
        <w:t>（3）投标人保证将保密信息的披露范围严格控制在直接从事该项目工作且因工作需要有必要知悉保密信息的工作人员范围内,对投标人非从事该项目的人员一律严格保密。</w:t>
      </w:r>
    </w:p>
    <w:p>
      <w:pPr>
        <w:snapToGrid w:val="0"/>
        <w:spacing w:line="360" w:lineRule="auto"/>
        <w:ind w:firstLine="480" w:firstLineChars="200"/>
        <w:rPr>
          <w:rFonts w:hint="eastAsia" w:ascii="宋体" w:hAnsi="宋体" w:cs="宋体"/>
          <w:sz w:val="24"/>
        </w:rPr>
      </w:pPr>
      <w:r>
        <w:rPr>
          <w:rFonts w:hint="eastAsia" w:ascii="宋体" w:hAnsi="宋体" w:cs="宋体"/>
          <w:sz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pPr>
        <w:snapToGrid w:val="0"/>
        <w:spacing w:line="360" w:lineRule="auto"/>
        <w:ind w:firstLine="480" w:firstLineChars="200"/>
        <w:rPr>
          <w:rFonts w:hint="eastAsia" w:ascii="宋体" w:hAnsi="宋体" w:cs="宋体"/>
          <w:sz w:val="24"/>
        </w:rPr>
      </w:pPr>
      <w:r>
        <w:rPr>
          <w:rFonts w:hint="eastAsia" w:ascii="宋体" w:hAnsi="宋体" w:cs="宋体"/>
          <w:sz w:val="24"/>
        </w:rPr>
        <w:t>（5）任何时间内，一经采购人提出要求，投标人应按照采购人指示在收到采购人书面通知后 5 日内将含有保密信息的所有文件或其他资料归还采购人，且不得擅自复制留存。</w:t>
      </w:r>
    </w:p>
    <w:p>
      <w:pPr>
        <w:snapToGrid w:val="0"/>
        <w:spacing w:line="360" w:lineRule="auto"/>
        <w:ind w:firstLine="480" w:firstLineChars="200"/>
        <w:rPr>
          <w:rFonts w:hint="eastAsia" w:ascii="宋体" w:hAnsi="宋体" w:cs="宋体"/>
          <w:sz w:val="24"/>
        </w:rPr>
      </w:pPr>
      <w:r>
        <w:rPr>
          <w:rFonts w:hint="eastAsia" w:ascii="宋体" w:hAnsi="宋体" w:cs="宋体"/>
          <w:sz w:val="24"/>
        </w:rPr>
        <w:t>（6）非经采购人特别授权，采购人向投标人提供的任何保密信息并不包括授予投标人该保密信息包含的任何专利权、商标权、著作权、商业秘密或其它类型的知识产权。</w:t>
      </w:r>
    </w:p>
    <w:p>
      <w:pPr>
        <w:snapToGrid w:val="0"/>
        <w:spacing w:line="360" w:lineRule="auto"/>
        <w:ind w:firstLine="480" w:firstLineChars="200"/>
        <w:rPr>
          <w:rFonts w:hint="eastAsia" w:ascii="宋体" w:hAnsi="宋体" w:cs="宋体"/>
          <w:sz w:val="24"/>
        </w:rPr>
      </w:pPr>
      <w:r>
        <w:rPr>
          <w:rFonts w:hint="eastAsia" w:ascii="宋体" w:hAnsi="宋体" w:cs="宋体"/>
          <w:sz w:val="24"/>
        </w:rPr>
        <w:t>（7）投标人承担上述保密义务的期限为合同有效期间及合同终止后2年，承担上述保密义务的责任主体为投标人（含投标人服务人员）。</w:t>
      </w:r>
    </w:p>
    <w:p>
      <w:pPr>
        <w:snapToGrid w:val="0"/>
        <w:spacing w:line="360" w:lineRule="auto"/>
        <w:ind w:firstLine="480" w:firstLineChars="200"/>
        <w:rPr>
          <w:rFonts w:hint="eastAsia" w:ascii="宋体" w:hAnsi="宋体" w:cs="宋体"/>
          <w:sz w:val="24"/>
        </w:rPr>
      </w:pPr>
      <w:r>
        <w:rPr>
          <w:rFonts w:hint="eastAsia" w:ascii="宋体" w:hAnsi="宋体" w:cs="宋体"/>
          <w:sz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pPr>
        <w:snapToGrid w:val="0"/>
        <w:spacing w:line="360" w:lineRule="auto"/>
        <w:ind w:firstLine="480" w:firstLineChars="200"/>
        <w:rPr>
          <w:rFonts w:hint="eastAsia" w:ascii="宋体" w:hAnsi="宋体" w:cs="宋体"/>
          <w:sz w:val="24"/>
        </w:rPr>
      </w:pPr>
      <w:r>
        <w:rPr>
          <w:rFonts w:hint="eastAsia" w:ascii="宋体" w:hAnsi="宋体" w:cs="宋体"/>
          <w:sz w:val="24"/>
        </w:rPr>
        <w:t>（9）投标人应当对获悉的政务数据、个人信息等予以保密，不得用于其他用途，不得泄露、出售或者非法向他人提供。</w:t>
      </w:r>
    </w:p>
    <w:p>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4.3知识产权要求</w:t>
      </w:r>
    </w:p>
    <w:p>
      <w:pPr>
        <w:snapToGrid w:val="0"/>
        <w:spacing w:line="360" w:lineRule="auto"/>
        <w:ind w:firstLine="480" w:firstLineChars="200"/>
        <w:rPr>
          <w:rFonts w:hint="eastAsia" w:ascii="宋体" w:hAnsi="宋体" w:cs="宋体"/>
          <w:sz w:val="24"/>
        </w:rPr>
      </w:pPr>
      <w:r>
        <w:rPr>
          <w:rFonts w:hint="eastAsia" w:ascii="宋体" w:hAnsi="宋体" w:cs="宋体"/>
          <w:sz w:val="24"/>
        </w:rPr>
        <w:t>（1）投标人应确保本项目所提交成果无知识产权纠纷，项目成果的知识产权属于项目委托方。须在响应文件中对此项作出专项承诺，格式自拟。</w:t>
      </w:r>
    </w:p>
    <w:p>
      <w:pPr>
        <w:snapToGrid w:val="0"/>
        <w:spacing w:line="360" w:lineRule="auto"/>
        <w:ind w:firstLine="480" w:firstLineChars="200"/>
        <w:outlineLvl w:val="2"/>
        <w:rPr>
          <w:rFonts w:hint="eastAsia" w:ascii="宋体" w:hAnsi="宋体" w:cs="宋体"/>
          <w:sz w:val="24"/>
        </w:rPr>
      </w:pPr>
      <w:r>
        <w:rPr>
          <w:rFonts w:hint="eastAsia" w:ascii="宋体" w:hAnsi="宋体" w:cs="宋体"/>
          <w:sz w:val="24"/>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pPr>
        <w:snapToGrid w:val="0"/>
        <w:spacing w:line="360" w:lineRule="auto"/>
        <w:ind w:firstLine="480" w:firstLineChars="200"/>
        <w:outlineLvl w:val="2"/>
        <w:rPr>
          <w:rFonts w:hint="eastAsia" w:ascii="宋体" w:hAnsi="宋体" w:cs="宋体"/>
          <w:sz w:val="24"/>
        </w:rPr>
      </w:pPr>
      <w:r>
        <w:rPr>
          <w:rFonts w:hint="eastAsia" w:ascii="宋体" w:hAnsi="宋体" w:cs="宋体"/>
          <w:sz w:val="24"/>
          <w:lang w:val="en-US" w:eastAsia="zh-CN"/>
        </w:rPr>
        <w:t>4.4</w:t>
      </w:r>
      <w:r>
        <w:rPr>
          <w:rFonts w:hint="eastAsia" w:ascii="宋体" w:hAnsi="宋体" w:cs="宋体"/>
          <w:sz w:val="24"/>
        </w:rPr>
        <w:t xml:space="preserve">政策性采购需求 </w:t>
      </w:r>
    </w:p>
    <w:p>
      <w:pPr>
        <w:snapToGrid w:val="0"/>
        <w:spacing w:line="360" w:lineRule="auto"/>
        <w:ind w:firstLine="420" w:firstLineChars="200"/>
        <w:rPr>
          <w:rFonts w:hint="eastAsia" w:ascii="宋体" w:hAnsi="宋体" w:cs="宋体"/>
          <w:sz w:val="24"/>
        </w:rPr>
      </w:pPr>
      <w:r>
        <w:rPr>
          <w:rFonts w:hint="eastAsia"/>
        </w:rPr>
        <w:t>为在项目中充分落实《政府采购法》规定的“政府采购应当有助于实现国家的经济和社会发展政策目标”等相关要求，以项目为载体推动北京市环境社会治理(ESG)体系高质量发展，请</w:t>
      </w:r>
      <w:r>
        <w:rPr>
          <w:rFonts w:hint="eastAsia"/>
          <w:lang w:eastAsia="zh-CN"/>
        </w:rPr>
        <w:t>投标人</w:t>
      </w:r>
      <w:r>
        <w:rPr>
          <w:rFonts w:hint="eastAsia"/>
        </w:rPr>
        <w:t>提供在本项目中落实 ESG 理念的工作措施。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decorative"/>
    <w:pitch w:val="default"/>
    <w:sig w:usb0="E0002AFF" w:usb1="C0007843"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E4E5B"/>
    <w:rsid w:val="7F8A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sz w:val="24"/>
    </w:rPr>
  </w:style>
  <w:style w:type="character" w:styleId="9">
    <w:name w:val="annotation reference"/>
    <w:qFormat/>
    <w:uiPriority w:val="99"/>
    <w:rPr>
      <w:sz w:val="21"/>
      <w:szCs w:val="21"/>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2026-01-20T00:33:42Z</dcterms:created>
  <dc:creator>user</dc:creator>
  <cp:lastModifiedBy>11</cp:lastModifiedBy>
  <dcterms:modified xsi:type="dcterms:W3CDTF">2026-01-20T00:34:20Z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